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FB3B1" w14:textId="77777777" w:rsidR="00C52F00" w:rsidRDefault="00C52F00" w:rsidP="003B3362">
      <w:pPr>
        <w:spacing w:after="0" w:line="240" w:lineRule="auto"/>
        <w:ind w:right="4"/>
        <w:jc w:val="center"/>
        <w:rPr>
          <w:rFonts w:ascii="Cambria" w:hAnsi="Cambria"/>
          <w:b/>
          <w:color w:val="000000" w:themeColor="text1"/>
          <w:lang w:val="es-US"/>
        </w:rPr>
      </w:pPr>
    </w:p>
    <w:p w14:paraId="51B19E2F" w14:textId="17201CDB" w:rsidR="003B3362" w:rsidRPr="005E7D95" w:rsidRDefault="003B3362" w:rsidP="003B3362">
      <w:pPr>
        <w:spacing w:after="0" w:line="240" w:lineRule="auto"/>
        <w:ind w:right="4"/>
        <w:jc w:val="center"/>
        <w:rPr>
          <w:rFonts w:ascii="Cambria" w:hAnsi="Cambria"/>
          <w:color w:val="000000" w:themeColor="text1"/>
          <w:lang w:val="es-US"/>
        </w:rPr>
      </w:pPr>
      <w:r w:rsidRPr="005E7D95">
        <w:rPr>
          <w:rFonts w:ascii="Cambria" w:hAnsi="Cambria"/>
          <w:b/>
          <w:color w:val="000000" w:themeColor="text1"/>
          <w:lang w:val="es-US"/>
        </w:rPr>
        <w:t>FICHA TÉCNICA INFORMATIVA</w:t>
      </w:r>
    </w:p>
    <w:p w14:paraId="260E5D46" w14:textId="31C13095" w:rsidR="003B3362" w:rsidRPr="00C87F91" w:rsidRDefault="003B3362" w:rsidP="003B3362">
      <w:pPr>
        <w:spacing w:after="0" w:line="240" w:lineRule="auto"/>
        <w:ind w:right="4"/>
        <w:jc w:val="center"/>
        <w:rPr>
          <w:rFonts w:ascii="Cambria" w:eastAsia="Batang" w:hAnsi="Cambria"/>
          <w:b/>
          <w:color w:val="000000" w:themeColor="text1"/>
          <w:lang w:val="es-US" w:eastAsia="es-ES_tradnl"/>
        </w:rPr>
      </w:pPr>
      <w:r w:rsidRPr="00C87F91">
        <w:rPr>
          <w:rFonts w:ascii="Cambria" w:eastAsia="Batang" w:hAnsi="Cambria"/>
          <w:b/>
          <w:color w:val="000000" w:themeColor="text1"/>
          <w:lang w:val="es-US" w:eastAsia="es-ES_tradnl"/>
        </w:rPr>
        <w:t xml:space="preserve">CASO </w:t>
      </w:r>
      <w:r w:rsidR="00F5625F" w:rsidRPr="00C87F91">
        <w:rPr>
          <w:rFonts w:ascii="Cambria" w:eastAsia="Batang" w:hAnsi="Cambria"/>
          <w:b/>
          <w:color w:val="000000" w:themeColor="text1"/>
          <w:lang w:val="es-US" w:eastAsia="es-ES_tradnl"/>
        </w:rPr>
        <w:t>1</w:t>
      </w:r>
      <w:r w:rsidR="009B6ECC" w:rsidRPr="00C87F91">
        <w:rPr>
          <w:rFonts w:ascii="Cambria" w:eastAsia="Batang" w:hAnsi="Cambria"/>
          <w:b/>
          <w:color w:val="000000" w:themeColor="text1"/>
          <w:lang w:val="es-US" w:eastAsia="es-ES_tradnl"/>
        </w:rPr>
        <w:t>3.020</w:t>
      </w:r>
      <w:r w:rsidR="00F5625F" w:rsidRPr="00C87F91">
        <w:rPr>
          <w:rFonts w:ascii="Cambria" w:eastAsia="Batang" w:hAnsi="Cambria"/>
          <w:b/>
          <w:color w:val="000000" w:themeColor="text1"/>
          <w:lang w:val="es-US" w:eastAsia="es-ES_tradnl"/>
        </w:rPr>
        <w:t xml:space="preserve"> </w:t>
      </w:r>
      <w:r w:rsidR="009B6ECC" w:rsidRPr="00C87F91">
        <w:rPr>
          <w:rFonts w:ascii="Cambria" w:eastAsia="Batang" w:hAnsi="Cambria"/>
          <w:b/>
          <w:color w:val="000000" w:themeColor="text1"/>
          <w:lang w:val="es-US" w:eastAsia="es-ES_tradnl"/>
        </w:rPr>
        <w:t>CARLOS ANDRÉS FRATICELLI</w:t>
      </w:r>
    </w:p>
    <w:p w14:paraId="101D0500" w14:textId="292F03BD" w:rsidR="003B3362" w:rsidRPr="00C87F91" w:rsidRDefault="003B3362" w:rsidP="003B3362">
      <w:pPr>
        <w:spacing w:after="0" w:line="240" w:lineRule="auto"/>
        <w:ind w:right="4"/>
        <w:jc w:val="center"/>
        <w:rPr>
          <w:rStyle w:val="Hyperlink"/>
          <w:lang w:val="es-CO"/>
        </w:rPr>
      </w:pPr>
      <w:r w:rsidRPr="00C87F91">
        <w:rPr>
          <w:rFonts w:ascii="Cambria" w:eastAsia="Batang" w:hAnsi="Cambria"/>
          <w:b/>
          <w:color w:val="000000" w:themeColor="text1"/>
          <w:lang w:val="es-CO"/>
        </w:rPr>
        <w:t>INFORME DE SOLUCIÓN AMISTOSA No.</w:t>
      </w:r>
      <w:r w:rsidR="00A56234" w:rsidRPr="00C87F91">
        <w:rPr>
          <w:rFonts w:ascii="Cambria" w:eastAsia="Batang" w:hAnsi="Cambria"/>
          <w:b/>
          <w:color w:val="000000" w:themeColor="text1"/>
          <w:lang w:val="es-CO"/>
        </w:rPr>
        <w:t xml:space="preserve"> </w:t>
      </w:r>
      <w:hyperlink r:id="rId12" w:history="1">
        <w:r w:rsidR="009B6ECC" w:rsidRPr="00C87F91">
          <w:rPr>
            <w:rStyle w:val="Hyperlink"/>
            <w:rFonts w:ascii="Cambria" w:eastAsia="Batang" w:hAnsi="Cambria"/>
            <w:b/>
            <w:lang w:val="es-CO"/>
          </w:rPr>
          <w:t>220/23</w:t>
        </w:r>
      </w:hyperlink>
    </w:p>
    <w:p w14:paraId="445577D0" w14:textId="77777777" w:rsidR="003B3362" w:rsidRPr="0027451C" w:rsidRDefault="003B3362" w:rsidP="003B3362">
      <w:pPr>
        <w:spacing w:after="0" w:line="240" w:lineRule="auto"/>
        <w:ind w:right="4"/>
        <w:jc w:val="center"/>
        <w:rPr>
          <w:rFonts w:ascii="Cambria" w:eastAsia="Batang" w:hAnsi="Cambria"/>
          <w:b/>
          <w:color w:val="000000" w:themeColor="text1"/>
          <w:lang w:val="es-CO"/>
        </w:rPr>
      </w:pPr>
      <w:r w:rsidRPr="0027451C">
        <w:rPr>
          <w:rFonts w:ascii="Cambria" w:eastAsia="Batang" w:hAnsi="Cambria"/>
          <w:b/>
          <w:color w:val="000000" w:themeColor="text1"/>
          <w:lang w:val="es-CO"/>
        </w:rPr>
        <w:t>CUMPLIMIENTO TOTAL</w:t>
      </w:r>
    </w:p>
    <w:p w14:paraId="1DE243DA" w14:textId="7518C2A0" w:rsidR="003B3362" w:rsidRPr="0009182C" w:rsidRDefault="003B3362" w:rsidP="003B3362">
      <w:pPr>
        <w:spacing w:after="0" w:line="240" w:lineRule="auto"/>
        <w:ind w:right="4"/>
        <w:jc w:val="center"/>
        <w:rPr>
          <w:rFonts w:ascii="Cambria" w:eastAsia="Batang" w:hAnsi="Cambria"/>
          <w:b/>
          <w:color w:val="000000" w:themeColor="text1"/>
          <w:lang w:val="es-CO"/>
        </w:rPr>
      </w:pPr>
      <w:r w:rsidRPr="00C87F91">
        <w:rPr>
          <w:rFonts w:ascii="Cambria" w:eastAsia="Batang" w:hAnsi="Cambria"/>
          <w:b/>
          <w:color w:val="000000" w:themeColor="text1"/>
          <w:lang w:val="es-CO"/>
        </w:rPr>
        <w:t>(</w:t>
      </w:r>
      <w:r w:rsidR="00F5625F" w:rsidRPr="00C87F91">
        <w:rPr>
          <w:rFonts w:ascii="Cambria" w:eastAsia="Batang" w:hAnsi="Cambria"/>
          <w:b/>
          <w:color w:val="000000" w:themeColor="text1"/>
          <w:lang w:val="es-CO"/>
        </w:rPr>
        <w:t>ARGENTINA</w:t>
      </w:r>
      <w:r w:rsidRPr="00C87F91">
        <w:rPr>
          <w:rFonts w:ascii="Cambria" w:eastAsia="Batang" w:hAnsi="Cambria"/>
          <w:b/>
          <w:color w:val="000000" w:themeColor="text1"/>
          <w:lang w:val="es-CO"/>
        </w:rPr>
        <w:t>)</w:t>
      </w:r>
    </w:p>
    <w:p w14:paraId="0C51BB25" w14:textId="77777777" w:rsidR="003B3362" w:rsidRPr="0009182C" w:rsidRDefault="003B3362" w:rsidP="003B3362">
      <w:pPr>
        <w:spacing w:after="0" w:line="240" w:lineRule="auto"/>
        <w:jc w:val="center"/>
        <w:rPr>
          <w:rFonts w:ascii="Cambria" w:eastAsia="Batang" w:hAnsi="Cambria"/>
          <w:b/>
          <w:color w:val="080808"/>
          <w:lang w:val="es-CO"/>
        </w:rPr>
      </w:pPr>
    </w:p>
    <w:p w14:paraId="36852FB7" w14:textId="77777777" w:rsidR="003B3362" w:rsidRPr="0009182C" w:rsidRDefault="003B3362" w:rsidP="003B3362">
      <w:pPr>
        <w:numPr>
          <w:ilvl w:val="0"/>
          <w:numId w:val="37"/>
        </w:numPr>
        <w:spacing w:after="0" w:line="240" w:lineRule="auto"/>
        <w:ind w:left="0" w:firstLine="709"/>
        <w:rPr>
          <w:rFonts w:ascii="Cambria" w:eastAsia="Batang" w:hAnsi="Cambria"/>
          <w:b/>
          <w:color w:val="080808"/>
          <w:lang w:val="es-CO"/>
        </w:rPr>
      </w:pPr>
      <w:r w:rsidRPr="0009182C">
        <w:rPr>
          <w:rFonts w:ascii="Cambria" w:eastAsia="Batang" w:hAnsi="Cambria" w:cs="Calibri Light"/>
          <w:b/>
          <w:color w:val="080808"/>
          <w:lang w:val="es-CO"/>
        </w:rPr>
        <w:t xml:space="preserve">RESUMEN DEL CASO </w:t>
      </w:r>
    </w:p>
    <w:p w14:paraId="2E845EF1" w14:textId="77777777" w:rsidR="003B3362" w:rsidRPr="0009182C" w:rsidRDefault="003B3362" w:rsidP="003B3362">
      <w:pPr>
        <w:spacing w:after="0" w:line="240" w:lineRule="auto"/>
        <w:jc w:val="both"/>
        <w:rPr>
          <w:rFonts w:ascii="Cambria" w:eastAsia="Batang" w:hAnsi="Cambria" w:cs="Calibri Light"/>
          <w:b/>
          <w:color w:val="080808"/>
          <w:lang w:val="es-CO"/>
        </w:rPr>
      </w:pPr>
    </w:p>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77"/>
      </w:tblGrid>
      <w:tr w:rsidR="003B3362" w:rsidRPr="00DA39D4" w14:paraId="78B6CDC5" w14:textId="77777777" w:rsidTr="00A76C75">
        <w:trPr>
          <w:trHeight w:val="1040"/>
        </w:trPr>
        <w:tc>
          <w:tcPr>
            <w:tcW w:w="9377" w:type="dxa"/>
            <w:shd w:val="clear" w:color="auto" w:fill="F2F2F2"/>
          </w:tcPr>
          <w:p w14:paraId="7BDE15BF" w14:textId="77777777" w:rsidR="009B6ECC" w:rsidRPr="00C87F91" w:rsidRDefault="009B6ECC" w:rsidP="009B6ECC">
            <w:pPr>
              <w:pStyle w:val="NoSpacing"/>
              <w:tabs>
                <w:tab w:val="left" w:pos="9270"/>
              </w:tabs>
              <w:jc w:val="both"/>
              <w:rPr>
                <w:rFonts w:ascii="Cambria" w:hAnsi="Cambria"/>
                <w:color w:val="000000"/>
                <w:sz w:val="20"/>
                <w:szCs w:val="20"/>
                <w:lang w:val="es-CO"/>
              </w:rPr>
            </w:pPr>
            <w:r w:rsidRPr="00C87F91">
              <w:rPr>
                <w:rFonts w:ascii="Cambria" w:eastAsia="Batang" w:hAnsi="Cambria"/>
                <w:b/>
                <w:color w:val="000000"/>
                <w:sz w:val="20"/>
                <w:szCs w:val="20"/>
                <w:lang w:val="es-CO"/>
              </w:rPr>
              <w:t>Víctima (s):</w:t>
            </w:r>
            <w:r w:rsidRPr="00C87F91">
              <w:rPr>
                <w:rFonts w:ascii="Cambria" w:eastAsia="Batang" w:hAnsi="Cambria"/>
                <w:color w:val="000000"/>
                <w:sz w:val="20"/>
                <w:szCs w:val="20"/>
                <w:lang w:val="es-CO"/>
              </w:rPr>
              <w:t xml:space="preserve"> </w:t>
            </w:r>
            <w:r w:rsidRPr="00C87F91">
              <w:rPr>
                <w:rFonts w:ascii="Cambria" w:hAnsi="Cambria"/>
                <w:color w:val="000000"/>
                <w:sz w:val="20"/>
                <w:szCs w:val="20"/>
                <w:lang w:val="es-CO"/>
              </w:rPr>
              <w:t>Carlos Andrés Fraticelli</w:t>
            </w:r>
          </w:p>
          <w:p w14:paraId="11F549CF" w14:textId="77777777" w:rsidR="009B6ECC" w:rsidRPr="00C87F91" w:rsidRDefault="009B6ECC" w:rsidP="009B6ECC">
            <w:pPr>
              <w:pStyle w:val="NoSpacing"/>
              <w:tabs>
                <w:tab w:val="left" w:pos="9270"/>
              </w:tabs>
              <w:jc w:val="both"/>
              <w:rPr>
                <w:rFonts w:ascii="Cambria" w:hAnsi="Cambria"/>
                <w:color w:val="000000"/>
                <w:sz w:val="20"/>
                <w:szCs w:val="20"/>
                <w:lang w:val="es-CO"/>
              </w:rPr>
            </w:pPr>
            <w:r w:rsidRPr="00C87F91">
              <w:rPr>
                <w:rFonts w:ascii="Cambria" w:eastAsia="Batang" w:hAnsi="Cambria"/>
                <w:b/>
                <w:color w:val="000000"/>
                <w:sz w:val="20"/>
                <w:szCs w:val="20"/>
                <w:lang w:val="es-CO"/>
              </w:rPr>
              <w:t xml:space="preserve">Peticionario (s): </w:t>
            </w:r>
            <w:r w:rsidRPr="00C87F91">
              <w:rPr>
                <w:rFonts w:ascii="Cambria" w:hAnsi="Cambria"/>
                <w:bCs/>
                <w:color w:val="000000"/>
                <w:sz w:val="20"/>
                <w:szCs w:val="20"/>
                <w:lang w:val="es-CO"/>
              </w:rPr>
              <w:t>Carlos E. Edwards y Aurelio Cuello Murúa</w:t>
            </w:r>
          </w:p>
          <w:p w14:paraId="0A1D42C6" w14:textId="77777777" w:rsidR="009B6ECC" w:rsidRPr="00C87F91" w:rsidRDefault="009B6ECC" w:rsidP="009B6ECC">
            <w:pPr>
              <w:tabs>
                <w:tab w:val="left" w:pos="9270"/>
              </w:tabs>
              <w:spacing w:after="0" w:line="240" w:lineRule="auto"/>
              <w:jc w:val="both"/>
              <w:rPr>
                <w:rFonts w:ascii="Cambria" w:eastAsia="Batang" w:hAnsi="Cambria"/>
                <w:color w:val="000000"/>
                <w:sz w:val="20"/>
                <w:szCs w:val="20"/>
                <w:lang w:val="es-CO"/>
              </w:rPr>
            </w:pPr>
            <w:r w:rsidRPr="00C87F91">
              <w:rPr>
                <w:rFonts w:ascii="Cambria" w:eastAsia="Batang" w:hAnsi="Cambria"/>
                <w:b/>
                <w:color w:val="000000"/>
                <w:sz w:val="20"/>
                <w:szCs w:val="20"/>
                <w:lang w:val="es-CO"/>
              </w:rPr>
              <w:t>Estado:</w:t>
            </w:r>
            <w:r w:rsidRPr="00C87F91">
              <w:rPr>
                <w:rFonts w:ascii="Cambria" w:eastAsia="Batang" w:hAnsi="Cambria"/>
                <w:color w:val="000000"/>
                <w:sz w:val="20"/>
                <w:szCs w:val="20"/>
                <w:lang w:val="es-CO"/>
              </w:rPr>
              <w:t xml:space="preserve"> Argentina</w:t>
            </w:r>
          </w:p>
          <w:p w14:paraId="1F975EBA" w14:textId="77777777" w:rsidR="009B6ECC" w:rsidRPr="00C87F91" w:rsidRDefault="009B6ECC" w:rsidP="009B6ECC">
            <w:pPr>
              <w:tabs>
                <w:tab w:val="left" w:pos="9270"/>
              </w:tabs>
              <w:spacing w:after="0" w:line="240" w:lineRule="auto"/>
              <w:jc w:val="both"/>
              <w:rPr>
                <w:rFonts w:ascii="Cambria" w:eastAsia="Batang" w:hAnsi="Cambria"/>
                <w:color w:val="000000"/>
                <w:sz w:val="20"/>
                <w:szCs w:val="20"/>
                <w:lang w:val="es-CO"/>
              </w:rPr>
            </w:pPr>
            <w:r w:rsidRPr="00C87F91">
              <w:rPr>
                <w:rFonts w:ascii="Cambria" w:hAnsi="Cambria"/>
                <w:b/>
                <w:bCs/>
                <w:color w:val="000000"/>
                <w:sz w:val="20"/>
                <w:szCs w:val="20"/>
                <w:lang w:val="es-CO"/>
              </w:rPr>
              <w:t>Fecha de inicio de las negociaciones:</w:t>
            </w:r>
            <w:r w:rsidRPr="00C87F91">
              <w:rPr>
                <w:rFonts w:ascii="Cambria" w:hAnsi="Cambria"/>
                <w:color w:val="000000"/>
                <w:sz w:val="20"/>
                <w:szCs w:val="20"/>
                <w:lang w:val="es-CO"/>
              </w:rPr>
              <w:t xml:space="preserve"> 28 de mayo de 2016</w:t>
            </w:r>
          </w:p>
          <w:p w14:paraId="0D19D346" w14:textId="77777777" w:rsidR="009B6ECC" w:rsidRPr="00C87F91" w:rsidRDefault="009B6ECC" w:rsidP="009B6ECC">
            <w:pPr>
              <w:tabs>
                <w:tab w:val="left" w:pos="9270"/>
              </w:tabs>
              <w:spacing w:after="0" w:line="240" w:lineRule="auto"/>
              <w:jc w:val="both"/>
              <w:rPr>
                <w:rFonts w:ascii="Cambria" w:hAnsi="Cambria"/>
                <w:sz w:val="20"/>
                <w:szCs w:val="20"/>
                <w:lang w:val="es-CO"/>
              </w:rPr>
            </w:pPr>
            <w:r w:rsidRPr="00C87F91">
              <w:rPr>
                <w:rFonts w:ascii="Cambria" w:hAnsi="Cambria"/>
                <w:b/>
                <w:bCs/>
                <w:color w:val="000000"/>
                <w:sz w:val="20"/>
                <w:szCs w:val="20"/>
                <w:lang w:val="es-CO"/>
              </w:rPr>
              <w:t xml:space="preserve">Fecha de Firma de ASA: </w:t>
            </w:r>
            <w:r w:rsidRPr="00C87F91">
              <w:rPr>
                <w:rFonts w:ascii="Cambria" w:hAnsi="Cambria"/>
                <w:color w:val="000000"/>
                <w:sz w:val="20"/>
                <w:szCs w:val="20"/>
                <w:lang w:val="es-CO"/>
              </w:rPr>
              <w:t>29 de a</w:t>
            </w:r>
            <w:r w:rsidRPr="00C87F91">
              <w:rPr>
                <w:rFonts w:ascii="Cambria" w:hAnsi="Cambria"/>
                <w:sz w:val="20"/>
                <w:szCs w:val="20"/>
                <w:lang w:val="es-CO"/>
              </w:rPr>
              <w:t>gosto de 2023</w:t>
            </w:r>
          </w:p>
          <w:p w14:paraId="32CAE5C5" w14:textId="77777777" w:rsidR="009B6ECC" w:rsidRPr="00C87F91" w:rsidRDefault="009B6ECC" w:rsidP="009B6ECC">
            <w:pPr>
              <w:tabs>
                <w:tab w:val="left" w:pos="9270"/>
              </w:tabs>
              <w:spacing w:after="0" w:line="240" w:lineRule="auto"/>
              <w:jc w:val="both"/>
              <w:rPr>
                <w:rFonts w:ascii="Cambria" w:hAnsi="Cambria"/>
                <w:b/>
                <w:bCs/>
                <w:sz w:val="20"/>
                <w:szCs w:val="20"/>
                <w:lang w:val="es-ES"/>
              </w:rPr>
            </w:pPr>
            <w:r w:rsidRPr="00C87F91">
              <w:rPr>
                <w:rFonts w:ascii="Cambria" w:hAnsi="Cambria"/>
                <w:b/>
                <w:bCs/>
                <w:sz w:val="20"/>
                <w:szCs w:val="20"/>
                <w:lang w:val="es-ES"/>
              </w:rPr>
              <w:t>Informe de Admisibilidad N</w:t>
            </w:r>
            <w:r w:rsidRPr="00C87F91">
              <w:rPr>
                <w:rFonts w:ascii="Cambria" w:eastAsia="Batang" w:hAnsi="Cambria"/>
                <w:b/>
                <w:sz w:val="20"/>
                <w:szCs w:val="20"/>
                <w:lang w:val="es-ES"/>
              </w:rPr>
              <w:t>º</w:t>
            </w:r>
            <w:r w:rsidRPr="00C87F91">
              <w:rPr>
                <w:rFonts w:ascii="Cambria" w:hAnsi="Cambria"/>
                <w:b/>
                <w:bCs/>
                <w:sz w:val="20"/>
                <w:szCs w:val="20"/>
                <w:lang w:val="es-ES"/>
              </w:rPr>
              <w:t xml:space="preserve">: </w:t>
            </w:r>
            <w:hyperlink r:id="rId13" w:history="1">
              <w:r w:rsidRPr="00C87F91">
                <w:rPr>
                  <w:rStyle w:val="Hyperlink"/>
                  <w:rFonts w:ascii="Cambria" w:hAnsi="Cambria"/>
                  <w:b/>
                  <w:bCs/>
                  <w:color w:val="auto"/>
                  <w:sz w:val="20"/>
                  <w:szCs w:val="20"/>
                  <w:lang w:val="es-ES"/>
                </w:rPr>
                <w:t>10/16</w:t>
              </w:r>
            </w:hyperlink>
            <w:r w:rsidRPr="00C87F91">
              <w:rPr>
                <w:rFonts w:ascii="Cambria" w:hAnsi="Cambria"/>
                <w:sz w:val="20"/>
                <w:szCs w:val="20"/>
                <w:lang w:val="es-ES"/>
              </w:rPr>
              <w:t>, publicado el 14 de abril de 2016</w:t>
            </w:r>
          </w:p>
          <w:p w14:paraId="2CDD7908" w14:textId="77777777" w:rsidR="009B6ECC" w:rsidRPr="00C87F91" w:rsidRDefault="009B6ECC" w:rsidP="009B6ECC">
            <w:pPr>
              <w:tabs>
                <w:tab w:val="left" w:pos="9270"/>
              </w:tabs>
              <w:spacing w:after="0" w:line="240" w:lineRule="auto"/>
              <w:jc w:val="both"/>
              <w:rPr>
                <w:rFonts w:ascii="Cambria" w:eastAsia="Batang" w:hAnsi="Cambria"/>
                <w:color w:val="000000"/>
                <w:sz w:val="20"/>
                <w:szCs w:val="20"/>
                <w:lang w:val="es-CO"/>
              </w:rPr>
            </w:pPr>
            <w:r w:rsidRPr="00C87F91">
              <w:rPr>
                <w:rFonts w:ascii="Cambria" w:eastAsia="Batang" w:hAnsi="Cambria"/>
                <w:b/>
                <w:sz w:val="20"/>
                <w:szCs w:val="20"/>
                <w:lang w:val="es-CO"/>
              </w:rPr>
              <w:t xml:space="preserve">Informe de Acuerdo de Solución Amistosa Nº: </w:t>
            </w:r>
            <w:hyperlink r:id="rId14" w:history="1">
              <w:r w:rsidRPr="00C87F91">
                <w:rPr>
                  <w:rStyle w:val="Hyperlink"/>
                  <w:rFonts w:ascii="Cambria" w:eastAsia="Batang" w:hAnsi="Cambria"/>
                  <w:b/>
                  <w:color w:val="auto"/>
                  <w:sz w:val="20"/>
                  <w:szCs w:val="20"/>
                  <w:lang w:val="es-CO"/>
                </w:rPr>
                <w:t xml:space="preserve">220/23 </w:t>
              </w:r>
            </w:hyperlink>
            <w:r w:rsidRPr="00C87F91">
              <w:rPr>
                <w:rFonts w:ascii="Cambria" w:eastAsia="Batang" w:hAnsi="Cambria"/>
                <w:bCs/>
                <w:sz w:val="20"/>
                <w:szCs w:val="20"/>
                <w:lang w:val="es-CO"/>
              </w:rPr>
              <w:t>p</w:t>
            </w:r>
            <w:r w:rsidRPr="00C87F91">
              <w:rPr>
                <w:rFonts w:ascii="Cambria" w:eastAsia="Batang" w:hAnsi="Cambria"/>
                <w:sz w:val="20"/>
                <w:szCs w:val="20"/>
                <w:lang w:val="es-CO"/>
              </w:rPr>
              <w:t>u</w:t>
            </w:r>
            <w:r w:rsidRPr="00C87F91">
              <w:rPr>
                <w:rFonts w:ascii="Cambria" w:eastAsia="Batang" w:hAnsi="Cambria"/>
                <w:color w:val="000000"/>
                <w:sz w:val="20"/>
                <w:szCs w:val="20"/>
                <w:lang w:val="es-CO"/>
              </w:rPr>
              <w:t>blicado el 22 de octubre de 2023</w:t>
            </w:r>
          </w:p>
          <w:p w14:paraId="4778DFCD" w14:textId="77777777" w:rsidR="009B6ECC" w:rsidRPr="00C87F91" w:rsidRDefault="009B6ECC" w:rsidP="009B6ECC">
            <w:pPr>
              <w:tabs>
                <w:tab w:val="left" w:pos="9270"/>
              </w:tabs>
              <w:spacing w:after="0" w:line="240" w:lineRule="auto"/>
              <w:jc w:val="both"/>
              <w:rPr>
                <w:rFonts w:ascii="Cambria" w:hAnsi="Cambria"/>
                <w:color w:val="000000"/>
                <w:sz w:val="20"/>
                <w:szCs w:val="20"/>
                <w:lang w:val="es-CO"/>
              </w:rPr>
            </w:pPr>
            <w:r w:rsidRPr="00C87F91">
              <w:rPr>
                <w:rFonts w:ascii="Cambria" w:hAnsi="Cambria"/>
                <w:b/>
                <w:bCs/>
                <w:color w:val="000000"/>
                <w:sz w:val="20"/>
                <w:szCs w:val="20"/>
                <w:lang w:val="es-CO"/>
              </w:rPr>
              <w:t xml:space="preserve">Duración estimada de la fase de negociación: </w:t>
            </w:r>
            <w:r w:rsidRPr="00C87F91">
              <w:rPr>
                <w:rFonts w:ascii="Cambria" w:hAnsi="Cambria"/>
                <w:color w:val="000000"/>
                <w:sz w:val="20"/>
                <w:szCs w:val="20"/>
                <w:lang w:val="es-CO"/>
              </w:rPr>
              <w:t>7 años y 4 meses</w:t>
            </w:r>
          </w:p>
          <w:p w14:paraId="032EA8A6" w14:textId="77777777" w:rsidR="009B6ECC" w:rsidRPr="00C87F91" w:rsidRDefault="009B6ECC" w:rsidP="009B6ECC">
            <w:pPr>
              <w:tabs>
                <w:tab w:val="left" w:pos="9270"/>
              </w:tabs>
              <w:spacing w:after="0" w:line="240" w:lineRule="auto"/>
              <w:jc w:val="both"/>
              <w:rPr>
                <w:rFonts w:ascii="Cambria" w:eastAsia="Batang" w:hAnsi="Cambria"/>
                <w:color w:val="000000"/>
                <w:sz w:val="20"/>
                <w:szCs w:val="20"/>
                <w:lang w:val="es-CO"/>
              </w:rPr>
            </w:pPr>
            <w:r w:rsidRPr="00C87F91">
              <w:rPr>
                <w:rFonts w:ascii="Cambria" w:eastAsia="Batang" w:hAnsi="Cambria"/>
                <w:b/>
                <w:color w:val="000000"/>
                <w:sz w:val="20"/>
                <w:szCs w:val="20"/>
                <w:lang w:val="es-CO"/>
              </w:rPr>
              <w:t>Relatoría vinculada:</w:t>
            </w:r>
            <w:r w:rsidRPr="00C87F91">
              <w:rPr>
                <w:rFonts w:ascii="Cambria" w:eastAsia="Batang" w:hAnsi="Cambria"/>
                <w:color w:val="000000"/>
                <w:sz w:val="20"/>
                <w:szCs w:val="20"/>
                <w:lang w:val="es-CO"/>
              </w:rPr>
              <w:t xml:space="preserve"> Personas Privadas de la Libertad</w:t>
            </w:r>
          </w:p>
          <w:p w14:paraId="534A907B" w14:textId="4B23DB95" w:rsidR="009B6ECC" w:rsidRPr="00C87F91" w:rsidRDefault="009B6ECC" w:rsidP="009B6ECC">
            <w:pPr>
              <w:tabs>
                <w:tab w:val="left" w:pos="9270"/>
              </w:tabs>
              <w:spacing w:after="0" w:line="240" w:lineRule="auto"/>
              <w:jc w:val="both"/>
              <w:rPr>
                <w:rFonts w:ascii="Cambria" w:eastAsia="Batang" w:hAnsi="Cambria"/>
                <w:bCs/>
                <w:color w:val="000000"/>
                <w:sz w:val="20"/>
                <w:szCs w:val="20"/>
                <w:lang w:val="es-CO"/>
              </w:rPr>
            </w:pPr>
            <w:r w:rsidRPr="00C87F91">
              <w:rPr>
                <w:rFonts w:ascii="Cambria" w:eastAsia="Batang" w:hAnsi="Cambria"/>
                <w:b/>
                <w:color w:val="000000"/>
                <w:sz w:val="20"/>
                <w:szCs w:val="20"/>
                <w:lang w:val="es-CO"/>
              </w:rPr>
              <w:t>Temas:</w:t>
            </w:r>
            <w:r w:rsidRPr="00C87F91">
              <w:rPr>
                <w:rFonts w:ascii="Cambria" w:eastAsia="Batang" w:hAnsi="Cambria"/>
                <w:bCs/>
                <w:color w:val="000000"/>
                <w:sz w:val="20"/>
                <w:szCs w:val="20"/>
                <w:lang w:val="es-CO"/>
              </w:rPr>
              <w:t xml:space="preserve"> </w:t>
            </w:r>
            <w:r w:rsidRPr="00C87F91">
              <w:rPr>
                <w:rFonts w:ascii="Cambria" w:hAnsi="Cambria"/>
                <w:bCs/>
                <w:color w:val="000000"/>
                <w:sz w:val="20"/>
                <w:szCs w:val="20"/>
                <w:lang w:val="es-CO"/>
              </w:rPr>
              <w:t xml:space="preserve">Derecho a la Libertad Personal/ </w:t>
            </w:r>
            <w:r w:rsidRPr="00C87F91">
              <w:rPr>
                <w:rFonts w:ascii="Cambria" w:eastAsia="Batang" w:hAnsi="Cambria"/>
                <w:bCs/>
                <w:color w:val="000000"/>
                <w:sz w:val="20"/>
                <w:szCs w:val="20"/>
                <w:lang w:val="es-CO"/>
              </w:rPr>
              <w:t>Garantías Judiciales/ Igualdad y No Discriminación/</w:t>
            </w:r>
            <w:r w:rsidRPr="00C87F91">
              <w:rPr>
                <w:rFonts w:ascii="Cambria" w:hAnsi="Cambria"/>
                <w:sz w:val="20"/>
                <w:szCs w:val="20"/>
                <w:lang w:val="es-ES"/>
              </w:rPr>
              <w:t xml:space="preserve"> </w:t>
            </w:r>
            <w:r w:rsidRPr="00C87F91">
              <w:rPr>
                <w:rFonts w:ascii="Cambria" w:eastAsia="Batang" w:hAnsi="Cambria"/>
                <w:bCs/>
                <w:color w:val="000000"/>
                <w:sz w:val="20"/>
                <w:szCs w:val="20"/>
                <w:lang w:val="es-CO"/>
              </w:rPr>
              <w:t>Participación y Derechos Políticos/ Protección Judicial</w:t>
            </w:r>
          </w:p>
          <w:p w14:paraId="0A7D9ECA" w14:textId="77777777" w:rsidR="009B6ECC" w:rsidRPr="00C87F91" w:rsidRDefault="009B6ECC" w:rsidP="009B6ECC">
            <w:pPr>
              <w:tabs>
                <w:tab w:val="left" w:pos="9270"/>
              </w:tabs>
              <w:spacing w:after="0" w:line="240" w:lineRule="auto"/>
              <w:jc w:val="both"/>
              <w:rPr>
                <w:rFonts w:ascii="Cambria" w:eastAsia="Batang" w:hAnsi="Cambria"/>
                <w:bCs/>
                <w:color w:val="000000"/>
                <w:sz w:val="20"/>
                <w:szCs w:val="20"/>
                <w:lang w:val="es-CO"/>
              </w:rPr>
            </w:pPr>
          </w:p>
          <w:p w14:paraId="7AFAEA81" w14:textId="7D449CD5" w:rsidR="009B6ECC" w:rsidRPr="00C87F91" w:rsidRDefault="009B6ECC" w:rsidP="009B6ECC">
            <w:pPr>
              <w:spacing w:line="240" w:lineRule="auto"/>
              <w:jc w:val="both"/>
              <w:rPr>
                <w:rFonts w:ascii="Cambria" w:eastAsia="Batang" w:hAnsi="Cambria"/>
                <w:color w:val="000000"/>
                <w:sz w:val="20"/>
                <w:szCs w:val="20"/>
                <w:lang w:val="es-CO"/>
              </w:rPr>
            </w:pPr>
            <w:r w:rsidRPr="00C87F91">
              <w:rPr>
                <w:rFonts w:ascii="Cambria" w:eastAsia="Batang" w:hAnsi="Cambria"/>
                <w:b/>
                <w:color w:val="000000"/>
                <w:sz w:val="20"/>
                <w:szCs w:val="20"/>
                <w:lang w:val="es-CO"/>
              </w:rPr>
              <w:t>Hechos:</w:t>
            </w:r>
            <w:r w:rsidRPr="00C87F91">
              <w:rPr>
                <w:rFonts w:ascii="Cambria" w:eastAsia="Batang" w:hAnsi="Cambria"/>
                <w:color w:val="000000"/>
                <w:sz w:val="20"/>
                <w:szCs w:val="20"/>
                <w:lang w:val="es-CO"/>
              </w:rPr>
              <w:t xml:space="preserve"> Los peticionarios alegaron que el señor Carlos Andrés Fraticelli y su </w:t>
            </w:r>
            <w:r w:rsidR="00F37B18" w:rsidRPr="00C87F91">
              <w:rPr>
                <w:rFonts w:ascii="Cambria" w:eastAsia="Batang" w:hAnsi="Cambria"/>
                <w:color w:val="000000"/>
                <w:sz w:val="20"/>
                <w:szCs w:val="20"/>
                <w:lang w:val="es-CO"/>
              </w:rPr>
              <w:t>exesposa</w:t>
            </w:r>
            <w:r w:rsidRPr="00C87F91">
              <w:rPr>
                <w:rFonts w:ascii="Cambria" w:eastAsia="Batang" w:hAnsi="Cambria"/>
                <w:color w:val="000000"/>
                <w:sz w:val="20"/>
                <w:szCs w:val="20"/>
                <w:lang w:val="es-CO"/>
              </w:rPr>
              <w:t xml:space="preserve">, María Graciela Diesser, fueron declarados responsables de manera injusta por la muerte de su hija Natalia Fraticelli, de 15 años, en la provincia de Santa Fe, quien habría sido encontrada sin vida en su habitación el 20 de mayo del 2000. A juicio de los peticionarios, desde el inicio de las investigaciones el análisis del caso se caracterizó tanto por la influencia de la opinión pública, como por el prejuzgamiento de los jueces a cargo </w:t>
            </w:r>
            <w:r w:rsidR="009C1FCB" w:rsidRPr="00C87F91">
              <w:rPr>
                <w:rFonts w:ascii="Cambria" w:eastAsia="Batang" w:hAnsi="Cambria"/>
                <w:color w:val="000000"/>
                <w:sz w:val="20"/>
                <w:szCs w:val="20"/>
                <w:lang w:val="es-CO"/>
              </w:rPr>
              <w:t>de este</w:t>
            </w:r>
            <w:r w:rsidRPr="00C87F91">
              <w:rPr>
                <w:rFonts w:ascii="Cambria" w:eastAsia="Batang" w:hAnsi="Cambria"/>
                <w:color w:val="000000"/>
                <w:sz w:val="20"/>
                <w:szCs w:val="20"/>
                <w:lang w:val="es-CO"/>
              </w:rPr>
              <w:t>. Los peticionarios alegaron que, producto del proceso judicial por la muerte de su hija, el Señor Fraticelli fue destituido arbitrariamente de su cargo de magistrado, a través de un proceso en el cual se violaron sus garantías judiciales y de protección judicial.</w:t>
            </w:r>
          </w:p>
          <w:p w14:paraId="039EA89A" w14:textId="07035A5E" w:rsidR="00A76C75" w:rsidRPr="00C87F91" w:rsidRDefault="009B6ECC" w:rsidP="009B6ECC">
            <w:pPr>
              <w:autoSpaceDE w:val="0"/>
              <w:autoSpaceDN w:val="0"/>
              <w:adjustRightInd w:val="0"/>
              <w:spacing w:after="0" w:line="240" w:lineRule="auto"/>
              <w:jc w:val="both"/>
              <w:rPr>
                <w:rFonts w:ascii="Cambria" w:eastAsia="Batang" w:hAnsi="Cambria" w:cs="Cambria"/>
                <w:color w:val="080808"/>
                <w:sz w:val="20"/>
                <w:szCs w:val="20"/>
                <w:lang w:val="es-CO" w:eastAsia="pt-BR"/>
              </w:rPr>
            </w:pPr>
            <w:r w:rsidRPr="00C87F91">
              <w:rPr>
                <w:rFonts w:ascii="Cambria" w:eastAsia="Batang" w:hAnsi="Cambria"/>
                <w:b/>
                <w:color w:val="000000"/>
                <w:sz w:val="20"/>
                <w:szCs w:val="20"/>
                <w:lang w:val="es-CO"/>
              </w:rPr>
              <w:t xml:space="preserve">Derechos declarados admisibles: </w:t>
            </w:r>
            <w:r w:rsidRPr="00C87F91">
              <w:rPr>
                <w:rFonts w:ascii="Cambria" w:eastAsia="Batang" w:hAnsi="Cambria"/>
                <w:bCs/>
                <w:color w:val="000000"/>
                <w:sz w:val="20"/>
                <w:szCs w:val="20"/>
                <w:lang w:val="es-CO"/>
              </w:rPr>
              <w:t>El 14 de abril de 2016, la Comisión emitió el informe de Admisibilidad N.º 10/16, en el cual declaró admisible la petición y su competencia para conocer del reclamo presentado por los peticionarios respecto de la presunta violación de los derechos consagrados en los artículos 7 (libertad personal), 8 (garantías judiciales), 23 (derechos políticos), 24 (igualdad ante la ley) y 25 (protección judicial) de la Convención Americana en conexión con la obligación establecida en los artículos 1.1 y 2 del mismo instrumento.</w:t>
            </w:r>
          </w:p>
        </w:tc>
      </w:tr>
    </w:tbl>
    <w:p w14:paraId="1800F6C1" w14:textId="77777777" w:rsidR="003B3362" w:rsidRPr="0009182C" w:rsidRDefault="003B3362" w:rsidP="003B3362">
      <w:pPr>
        <w:spacing w:after="0" w:line="240" w:lineRule="auto"/>
        <w:contextualSpacing/>
        <w:jc w:val="both"/>
        <w:rPr>
          <w:rFonts w:ascii="Cambria" w:eastAsia="Batang" w:hAnsi="Cambria" w:cs="Calibri Light"/>
          <w:b/>
          <w:color w:val="080808"/>
          <w:lang w:val="es-CO"/>
        </w:rPr>
      </w:pPr>
    </w:p>
    <w:p w14:paraId="78070B13" w14:textId="77777777" w:rsidR="003B3362" w:rsidRPr="0009182C" w:rsidRDefault="003B3362" w:rsidP="003B3362">
      <w:pPr>
        <w:numPr>
          <w:ilvl w:val="0"/>
          <w:numId w:val="37"/>
        </w:numPr>
        <w:spacing w:after="0" w:line="240" w:lineRule="auto"/>
        <w:ind w:left="1440"/>
        <w:contextualSpacing/>
        <w:rPr>
          <w:rFonts w:ascii="Cambria" w:eastAsia="Batang" w:hAnsi="Cambria"/>
          <w:b/>
          <w:color w:val="080808"/>
          <w:lang w:val="es-CO"/>
        </w:rPr>
      </w:pPr>
      <w:r w:rsidRPr="0009182C">
        <w:rPr>
          <w:rFonts w:ascii="Cambria" w:eastAsia="Batang" w:hAnsi="Cambria"/>
          <w:b/>
          <w:color w:val="080808"/>
          <w:lang w:val="es-CO"/>
        </w:rPr>
        <w:t>ACTIVIDAD PROCESAL</w:t>
      </w:r>
    </w:p>
    <w:p w14:paraId="4140C440" w14:textId="77777777" w:rsidR="003B3362" w:rsidRPr="0009182C" w:rsidRDefault="003B3362" w:rsidP="003B3362">
      <w:pPr>
        <w:spacing w:after="0" w:line="240" w:lineRule="auto"/>
        <w:jc w:val="both"/>
        <w:rPr>
          <w:rFonts w:ascii="Cambria" w:hAnsi="Cambria"/>
          <w:color w:val="080808"/>
          <w:lang w:val="es-CO"/>
        </w:rPr>
      </w:pPr>
    </w:p>
    <w:p w14:paraId="5DC53F38" w14:textId="64A9D163" w:rsidR="000C1209" w:rsidRPr="00E72132" w:rsidRDefault="00530711" w:rsidP="00A565B1">
      <w:pPr>
        <w:numPr>
          <w:ilvl w:val="0"/>
          <w:numId w:val="38"/>
        </w:numPr>
        <w:spacing w:after="0" w:line="240" w:lineRule="auto"/>
        <w:ind w:left="0" w:firstLine="709"/>
        <w:jc w:val="both"/>
        <w:rPr>
          <w:rFonts w:ascii="Cambria" w:eastAsia="Batang" w:hAnsi="Cambria" w:cs="Calibri Light"/>
          <w:color w:val="080808"/>
          <w:sz w:val="20"/>
          <w:szCs w:val="20"/>
          <w:lang w:val="es-CO"/>
        </w:rPr>
      </w:pPr>
      <w:r w:rsidRPr="00C87F91">
        <w:rPr>
          <w:rFonts w:ascii="Cambria" w:eastAsia="Batang" w:hAnsi="Cambria"/>
          <w:bCs/>
          <w:color w:val="080808"/>
          <w:sz w:val="20"/>
          <w:szCs w:val="20"/>
          <w:lang w:val="es-CO"/>
        </w:rPr>
        <w:t>El 2</w:t>
      </w:r>
      <w:r w:rsidR="009B6ECC" w:rsidRPr="00C87F91">
        <w:rPr>
          <w:rFonts w:ascii="Cambria" w:eastAsia="Batang" w:hAnsi="Cambria"/>
          <w:bCs/>
          <w:color w:val="080808"/>
          <w:sz w:val="20"/>
          <w:szCs w:val="20"/>
          <w:lang w:val="es-CO"/>
        </w:rPr>
        <w:t>9</w:t>
      </w:r>
      <w:r w:rsidRPr="00C87F91">
        <w:rPr>
          <w:rFonts w:ascii="Cambria" w:eastAsia="Batang" w:hAnsi="Cambria"/>
          <w:bCs/>
          <w:color w:val="080808"/>
          <w:sz w:val="20"/>
          <w:szCs w:val="20"/>
          <w:lang w:val="es-CO"/>
        </w:rPr>
        <w:t xml:space="preserve"> de </w:t>
      </w:r>
      <w:r w:rsidR="009B6ECC" w:rsidRPr="00C87F91">
        <w:rPr>
          <w:rFonts w:ascii="Cambria" w:eastAsia="Batang" w:hAnsi="Cambria"/>
          <w:bCs/>
          <w:color w:val="080808"/>
          <w:sz w:val="20"/>
          <w:szCs w:val="20"/>
          <w:lang w:val="es-CO"/>
        </w:rPr>
        <w:t>agosto</w:t>
      </w:r>
      <w:r w:rsidRPr="00C87F91">
        <w:rPr>
          <w:rFonts w:ascii="Cambria" w:eastAsia="Batang" w:hAnsi="Cambria"/>
          <w:bCs/>
          <w:color w:val="080808"/>
          <w:sz w:val="20"/>
          <w:szCs w:val="20"/>
          <w:lang w:val="es-CO"/>
        </w:rPr>
        <w:t xml:space="preserve"> de 202</w:t>
      </w:r>
      <w:r w:rsidR="009B6ECC" w:rsidRPr="00C87F91">
        <w:rPr>
          <w:rFonts w:ascii="Cambria" w:eastAsia="Batang" w:hAnsi="Cambria"/>
          <w:bCs/>
          <w:color w:val="080808"/>
          <w:sz w:val="20"/>
          <w:szCs w:val="20"/>
          <w:lang w:val="es-CO"/>
        </w:rPr>
        <w:t>3</w:t>
      </w:r>
      <w:r w:rsidRPr="00C87F91">
        <w:rPr>
          <w:rFonts w:ascii="Cambria" w:eastAsia="Batang" w:hAnsi="Cambria"/>
          <w:bCs/>
          <w:color w:val="080808"/>
          <w:sz w:val="20"/>
          <w:szCs w:val="20"/>
          <w:lang w:val="es-CO"/>
        </w:rPr>
        <w:t>, las partes firmaron un acuerdo de solución amistosa</w:t>
      </w:r>
      <w:r w:rsidR="00E72132" w:rsidRPr="00C87F91">
        <w:rPr>
          <w:rFonts w:ascii="Cambria" w:eastAsia="Batang" w:hAnsi="Cambria"/>
          <w:bCs/>
          <w:color w:val="080808"/>
          <w:sz w:val="20"/>
          <w:szCs w:val="20"/>
          <w:lang w:val="es-CO"/>
        </w:rPr>
        <w:t>.</w:t>
      </w:r>
    </w:p>
    <w:p w14:paraId="7AAA717B" w14:textId="77777777" w:rsidR="00E72132" w:rsidRPr="00C87F91" w:rsidRDefault="00E72132" w:rsidP="00C87F91">
      <w:pPr>
        <w:spacing w:after="0" w:line="240" w:lineRule="auto"/>
        <w:ind w:left="709"/>
        <w:jc w:val="both"/>
        <w:rPr>
          <w:rFonts w:ascii="Cambria" w:eastAsia="Batang" w:hAnsi="Cambria" w:cs="Calibri Light"/>
          <w:color w:val="080808"/>
          <w:sz w:val="20"/>
          <w:szCs w:val="20"/>
          <w:lang w:val="es-CO"/>
        </w:rPr>
      </w:pPr>
    </w:p>
    <w:p w14:paraId="01D1053B" w14:textId="248040FC" w:rsidR="00530711" w:rsidRPr="00C87F91" w:rsidRDefault="00E72132" w:rsidP="000C1209">
      <w:pPr>
        <w:numPr>
          <w:ilvl w:val="0"/>
          <w:numId w:val="38"/>
        </w:numPr>
        <w:spacing w:after="0" w:line="240" w:lineRule="auto"/>
        <w:ind w:left="0" w:firstLine="709"/>
        <w:jc w:val="both"/>
        <w:rPr>
          <w:rFonts w:ascii="Cambria" w:eastAsia="Batang" w:hAnsi="Cambria" w:cs="Calibri Light"/>
          <w:color w:val="080808"/>
          <w:sz w:val="20"/>
          <w:szCs w:val="20"/>
          <w:lang w:val="es-CO"/>
        </w:rPr>
      </w:pPr>
      <w:r w:rsidRPr="00C87F91">
        <w:rPr>
          <w:rFonts w:ascii="Cambria" w:hAnsi="Cambria"/>
          <w:sz w:val="20"/>
          <w:szCs w:val="20"/>
          <w:lang w:val="es-AR"/>
        </w:rPr>
        <w:t>El 22 de octubre de 2023,</w:t>
      </w:r>
      <w:r w:rsidRPr="00C87F91">
        <w:rPr>
          <w:rFonts w:ascii="Cambria" w:eastAsia="Batang" w:hAnsi="Cambria" w:cs="Calibri Light"/>
          <w:color w:val="080808"/>
          <w:sz w:val="20"/>
          <w:szCs w:val="20"/>
          <w:lang w:val="es-CO"/>
        </w:rPr>
        <w:t xml:space="preserve"> </w:t>
      </w:r>
      <w:r w:rsidRPr="00C87F91">
        <w:rPr>
          <w:rFonts w:ascii="Cambria" w:hAnsi="Cambria"/>
          <w:sz w:val="20"/>
          <w:szCs w:val="20"/>
          <w:lang w:val="es-AR"/>
        </w:rPr>
        <w:t>l</w:t>
      </w:r>
      <w:r w:rsidR="007B4AB5" w:rsidRPr="00C87F91">
        <w:rPr>
          <w:rFonts w:ascii="Cambria" w:hAnsi="Cambria"/>
          <w:sz w:val="20"/>
          <w:szCs w:val="20"/>
          <w:lang w:val="es-AR"/>
        </w:rPr>
        <w:t xml:space="preserve">a CIDH publicó el informe de homologación No. 220/23, dando cuenta del cumplimiento total del acuerdo de solución amistosa y consecuentemente </w:t>
      </w:r>
      <w:r w:rsidR="00AB6FB8" w:rsidRPr="00C87F91">
        <w:rPr>
          <w:rFonts w:ascii="Cambria" w:hAnsi="Cambria"/>
          <w:sz w:val="20"/>
          <w:szCs w:val="20"/>
          <w:lang w:val="es-AR"/>
        </w:rPr>
        <w:t>disp</w:t>
      </w:r>
      <w:r w:rsidR="00AB6FB8">
        <w:rPr>
          <w:rFonts w:ascii="Cambria" w:hAnsi="Cambria"/>
          <w:sz w:val="20"/>
          <w:szCs w:val="20"/>
          <w:lang w:val="es-AR"/>
        </w:rPr>
        <w:t>oniendo</w:t>
      </w:r>
      <w:r w:rsidR="00AB6FB8" w:rsidRPr="00C87F91">
        <w:rPr>
          <w:rFonts w:ascii="Cambria" w:hAnsi="Cambria"/>
          <w:sz w:val="20"/>
          <w:szCs w:val="20"/>
          <w:lang w:val="es-AR"/>
        </w:rPr>
        <w:t xml:space="preserve"> </w:t>
      </w:r>
      <w:r w:rsidR="007B4AB5" w:rsidRPr="00C87F91">
        <w:rPr>
          <w:rFonts w:ascii="Cambria" w:hAnsi="Cambria"/>
          <w:sz w:val="20"/>
          <w:szCs w:val="20"/>
          <w:lang w:val="es-AR"/>
        </w:rPr>
        <w:t>el cese de su supervisión y cierre del caso.</w:t>
      </w:r>
    </w:p>
    <w:p w14:paraId="1E296B40" w14:textId="77777777" w:rsidR="000C1209" w:rsidRDefault="000C1209" w:rsidP="000C1209">
      <w:pPr>
        <w:spacing w:after="0" w:line="240" w:lineRule="auto"/>
        <w:jc w:val="both"/>
        <w:rPr>
          <w:rFonts w:ascii="Cambria" w:eastAsia="Batang" w:hAnsi="Cambria" w:cs="Calibri Light"/>
          <w:color w:val="080808"/>
          <w:lang w:val="es-CO"/>
        </w:rPr>
      </w:pPr>
    </w:p>
    <w:p w14:paraId="1821C477" w14:textId="77777777" w:rsidR="000C1209" w:rsidRPr="0009182C" w:rsidRDefault="000C1209" w:rsidP="000C1209">
      <w:pPr>
        <w:numPr>
          <w:ilvl w:val="0"/>
          <w:numId w:val="37"/>
        </w:numPr>
        <w:spacing w:after="0" w:line="240" w:lineRule="auto"/>
        <w:ind w:left="0" w:firstLine="720"/>
        <w:contextualSpacing/>
        <w:jc w:val="both"/>
        <w:rPr>
          <w:rFonts w:ascii="Cambria" w:eastAsia="Batang" w:hAnsi="Cambria" w:cs="Calibri Light"/>
          <w:b/>
          <w:color w:val="080808"/>
          <w:lang w:val="es-CO"/>
        </w:rPr>
      </w:pPr>
      <w:r w:rsidRPr="0009182C">
        <w:rPr>
          <w:rFonts w:ascii="Cambria" w:eastAsia="Batang" w:hAnsi="Cambria" w:cs="Calibri Light"/>
          <w:b/>
          <w:color w:val="080808"/>
          <w:lang w:val="es-CO"/>
        </w:rPr>
        <w:t>ANÁLISIS DEL CUMPLIMIENTO DE LAS CLÁUSULAS DEL ACUERDO DE SOLUCIÓN AMISTOSA</w:t>
      </w:r>
    </w:p>
    <w:p w14:paraId="627AB882" w14:textId="77777777" w:rsidR="000C1209" w:rsidRPr="0009182C" w:rsidRDefault="000C1209" w:rsidP="000C1209">
      <w:pPr>
        <w:spacing w:after="0" w:line="240" w:lineRule="auto"/>
        <w:ind w:left="720"/>
        <w:jc w:val="both"/>
        <w:rPr>
          <w:rFonts w:ascii="Cambria" w:eastAsia="Batang" w:hAnsi="Cambria" w:cs="Calibri Light"/>
          <w:color w:val="080808"/>
          <w:lang w:val="es-CO"/>
        </w:rPr>
      </w:pP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2"/>
        <w:gridCol w:w="1701"/>
      </w:tblGrid>
      <w:tr w:rsidR="000C1209" w:rsidRPr="004947AF" w14:paraId="727DC7C7" w14:textId="77777777" w:rsidTr="00804E34">
        <w:trPr>
          <w:tblHeader/>
          <w:jc w:val="center"/>
        </w:trPr>
        <w:tc>
          <w:tcPr>
            <w:tcW w:w="7632" w:type="dxa"/>
            <w:tcBorders>
              <w:top w:val="single" w:sz="4" w:space="0" w:color="auto"/>
              <w:left w:val="single" w:sz="4" w:space="0" w:color="auto"/>
              <w:bottom w:val="single" w:sz="4" w:space="0" w:color="auto"/>
              <w:right w:val="single" w:sz="4" w:space="0" w:color="auto"/>
            </w:tcBorders>
            <w:shd w:val="clear" w:color="auto" w:fill="D9D9D9"/>
            <w:vAlign w:val="center"/>
          </w:tcPr>
          <w:p w14:paraId="190544AC" w14:textId="77777777" w:rsidR="000C1209" w:rsidRPr="00C87F91" w:rsidRDefault="000C1209" w:rsidP="00D450C6">
            <w:pPr>
              <w:tabs>
                <w:tab w:val="center" w:pos="2049"/>
              </w:tabs>
              <w:spacing w:after="0" w:line="240" w:lineRule="auto"/>
              <w:jc w:val="center"/>
              <w:rPr>
                <w:rFonts w:ascii="Cambria" w:eastAsia="Batang" w:hAnsi="Cambria"/>
                <w:b/>
                <w:color w:val="080808"/>
                <w:sz w:val="20"/>
                <w:szCs w:val="20"/>
                <w:lang w:val="es-CO"/>
              </w:rPr>
            </w:pPr>
            <w:r w:rsidRPr="00C87F91">
              <w:rPr>
                <w:rFonts w:ascii="Cambria" w:eastAsia="Batang" w:hAnsi="Cambria"/>
                <w:b/>
                <w:color w:val="080808"/>
                <w:sz w:val="20"/>
                <w:szCs w:val="20"/>
                <w:lang w:val="es-CO"/>
              </w:rPr>
              <w:t>Cláusula del Acuerdo</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A282E1B" w14:textId="77777777" w:rsidR="000C1209" w:rsidRPr="00C87F91" w:rsidRDefault="000C1209" w:rsidP="00D450C6">
            <w:pPr>
              <w:spacing w:after="0" w:line="240" w:lineRule="auto"/>
              <w:jc w:val="center"/>
              <w:rPr>
                <w:rFonts w:ascii="Cambria" w:eastAsia="Batang" w:hAnsi="Cambria"/>
                <w:b/>
                <w:color w:val="080808"/>
                <w:sz w:val="20"/>
                <w:szCs w:val="20"/>
                <w:lang w:val="es-CO"/>
              </w:rPr>
            </w:pPr>
            <w:r w:rsidRPr="00C87F91">
              <w:rPr>
                <w:rFonts w:ascii="Cambria" w:eastAsia="Batang" w:hAnsi="Cambria"/>
                <w:b/>
                <w:color w:val="080808"/>
                <w:sz w:val="20"/>
                <w:szCs w:val="20"/>
                <w:lang w:val="es-CO"/>
              </w:rPr>
              <w:t>Estado de Cumplimiento</w:t>
            </w:r>
          </w:p>
        </w:tc>
      </w:tr>
      <w:tr w:rsidR="000C1209" w:rsidRPr="004947AF" w14:paraId="0D38F1E4" w14:textId="77777777" w:rsidTr="00D450C6">
        <w:trPr>
          <w:trHeight w:val="269"/>
          <w:jc w:val="center"/>
        </w:trPr>
        <w:tc>
          <w:tcPr>
            <w:tcW w:w="9333" w:type="dxa"/>
            <w:gridSpan w:val="2"/>
            <w:tcBorders>
              <w:top w:val="single" w:sz="4" w:space="0" w:color="auto"/>
              <w:left w:val="single" w:sz="4" w:space="0" w:color="auto"/>
              <w:bottom w:val="single" w:sz="4" w:space="0" w:color="auto"/>
              <w:right w:val="single" w:sz="4" w:space="0" w:color="auto"/>
            </w:tcBorders>
            <w:vAlign w:val="center"/>
          </w:tcPr>
          <w:p w14:paraId="5E6614CD" w14:textId="77777777" w:rsidR="000C1209" w:rsidRPr="00C87F91" w:rsidRDefault="000C1209" w:rsidP="00D450C6">
            <w:pPr>
              <w:spacing w:after="0" w:line="240" w:lineRule="auto"/>
              <w:rPr>
                <w:rFonts w:ascii="Cambria" w:eastAsia="Batang" w:hAnsi="Cambria"/>
                <w:b/>
                <w:color w:val="000000"/>
                <w:sz w:val="20"/>
                <w:szCs w:val="20"/>
                <w:lang w:val="es-CO" w:eastAsia="es-ES_tradnl"/>
              </w:rPr>
            </w:pPr>
          </w:p>
        </w:tc>
      </w:tr>
      <w:tr w:rsidR="000C1209" w:rsidRPr="004947AF" w14:paraId="65BD4AA3" w14:textId="77777777" w:rsidTr="00D450C6">
        <w:trPr>
          <w:trHeight w:val="269"/>
          <w:jc w:val="center"/>
        </w:trPr>
        <w:tc>
          <w:tcPr>
            <w:tcW w:w="7632" w:type="dxa"/>
            <w:tcBorders>
              <w:top w:val="single" w:sz="4" w:space="0" w:color="auto"/>
              <w:left w:val="single" w:sz="4" w:space="0" w:color="auto"/>
              <w:bottom w:val="single" w:sz="4" w:space="0" w:color="auto"/>
              <w:right w:val="single" w:sz="4" w:space="0" w:color="auto"/>
            </w:tcBorders>
            <w:vAlign w:val="center"/>
          </w:tcPr>
          <w:p w14:paraId="5CA45D24" w14:textId="77777777" w:rsidR="000C1209" w:rsidRPr="00C87F91" w:rsidRDefault="000C1209" w:rsidP="00D450C6">
            <w:pPr>
              <w:spacing w:line="240" w:lineRule="auto"/>
              <w:ind w:right="-131"/>
              <w:rPr>
                <w:rFonts w:ascii="Cambria" w:eastAsia="Batang" w:hAnsi="Cambria" w:cs="Calibri"/>
                <w:color w:val="000000"/>
                <w:sz w:val="20"/>
                <w:szCs w:val="20"/>
                <w:lang w:val="es-ES_tradnl"/>
              </w:rPr>
            </w:pPr>
            <w:r w:rsidRPr="00C87F91">
              <w:rPr>
                <w:rFonts w:ascii="Cambria" w:eastAsia="Batang" w:hAnsi="Cambria" w:cs="Calibri"/>
                <w:b/>
                <w:bCs/>
                <w:color w:val="000000"/>
                <w:sz w:val="20"/>
                <w:szCs w:val="20"/>
                <w:lang w:val="es-ES_tradnl"/>
              </w:rPr>
              <w:lastRenderedPageBreak/>
              <w:t>I. El proceso de solución amistosa entre la parte peticionaria y el Gobierno de la Provincia de Santa Fe.</w:t>
            </w:r>
            <w:r w:rsidRPr="00C87F91">
              <w:rPr>
                <w:rFonts w:ascii="Cambria" w:eastAsia="Batang" w:hAnsi="Cambria" w:cs="Calibri"/>
                <w:color w:val="000000"/>
                <w:sz w:val="20"/>
                <w:szCs w:val="20"/>
                <w:lang w:val="es-ES_tradnl"/>
              </w:rPr>
              <w:br/>
              <w:t xml:space="preserve">A. Tal como fuera oportunamente comunicado a la Ilustre Comisión Interamericana de Derechos Humanos, la parte peticionaria y las autoridades provinciales abrieron un espacio de diálogo tendiente a explorar una solución amistosa del asunto.  </w:t>
            </w:r>
          </w:p>
          <w:p w14:paraId="28961974" w14:textId="77777777" w:rsidR="000C1209" w:rsidRPr="00C87F91" w:rsidRDefault="000C1209" w:rsidP="00D450C6">
            <w:pPr>
              <w:spacing w:line="240" w:lineRule="auto"/>
              <w:jc w:val="both"/>
              <w:rPr>
                <w:rFonts w:ascii="Cambria" w:eastAsia="Batang" w:hAnsi="Cambria" w:cs="Calibri"/>
                <w:color w:val="000000"/>
                <w:sz w:val="20"/>
                <w:szCs w:val="20"/>
                <w:lang w:val="es-ES_tradnl"/>
              </w:rPr>
            </w:pPr>
            <w:r w:rsidRPr="00C87F91">
              <w:rPr>
                <w:rFonts w:ascii="Cambria" w:eastAsia="Batang" w:hAnsi="Cambria" w:cs="Calibri"/>
                <w:color w:val="000000"/>
                <w:sz w:val="20"/>
                <w:szCs w:val="20"/>
                <w:lang w:val="es-ES_tradnl"/>
              </w:rPr>
              <w:t xml:space="preserve">B. En ese ámbito, la Provincia de Santa Fe y la parte peticionaria llegaron a un entendimiento definitivo en base a lo dispuesto por el Decreto Nº 2133 del 20 de agosto de 2016. En ese sentido, la citada provincia y la parte peticionaria suscribieron un acuerdo con fecha 7 de septiembre de 2016 en el marco del EXPEDIENTE NUMERO: OO115-0006560-4 del Ministerio de Gobierno y Reforma del Estado de la Provincia de Santa Fe. </w:t>
            </w:r>
          </w:p>
          <w:p w14:paraId="215B35C8" w14:textId="77777777" w:rsidR="000C1209" w:rsidRPr="00C87F91" w:rsidRDefault="000C1209" w:rsidP="00D450C6">
            <w:pPr>
              <w:spacing w:after="0" w:line="240" w:lineRule="auto"/>
              <w:jc w:val="both"/>
              <w:rPr>
                <w:rFonts w:ascii="Cambria" w:eastAsia="Times New Roman" w:hAnsi="Cambria"/>
                <w:color w:val="080808"/>
                <w:sz w:val="20"/>
                <w:szCs w:val="20"/>
                <w:lang w:val="es-CO"/>
              </w:rPr>
            </w:pPr>
            <w:r w:rsidRPr="00C87F91">
              <w:rPr>
                <w:rFonts w:ascii="Cambria" w:eastAsia="Batang" w:hAnsi="Cambria" w:cs="Calibri"/>
                <w:color w:val="000000"/>
                <w:sz w:val="20"/>
                <w:szCs w:val="20"/>
                <w:lang w:val="es-ES_tradnl"/>
              </w:rPr>
              <w:t>C. En dicho documento, se dan por resueltos todos los conflictos actuales y/o futuros, a través de la renuncia total y absoluta a cualquier reclamación actual y/o futura, nacional o internacional, administrativa o judicial, derivada de su desempeño en el ámbito provincial, de conformidad a la propia voluntad puesta de manifiesto por el peticionante, en especial respecto del Caso N° 13.020 de la Comisión Interamericana de Derechos Humanos (fs. 125 a 126). […]</w:t>
            </w:r>
          </w:p>
        </w:tc>
        <w:tc>
          <w:tcPr>
            <w:tcW w:w="1701" w:type="dxa"/>
            <w:tcBorders>
              <w:top w:val="single" w:sz="4" w:space="0" w:color="auto"/>
              <w:left w:val="single" w:sz="4" w:space="0" w:color="auto"/>
              <w:bottom w:val="single" w:sz="4" w:space="0" w:color="auto"/>
              <w:right w:val="single" w:sz="4" w:space="0" w:color="auto"/>
            </w:tcBorders>
            <w:vAlign w:val="center"/>
          </w:tcPr>
          <w:p w14:paraId="432B0DCD" w14:textId="77777777" w:rsidR="000C1209" w:rsidRPr="00C87F91" w:rsidRDefault="000C1209" w:rsidP="00D450C6">
            <w:pPr>
              <w:spacing w:after="0" w:line="240" w:lineRule="auto"/>
              <w:jc w:val="center"/>
              <w:rPr>
                <w:rFonts w:ascii="Cambria" w:eastAsia="Batang" w:hAnsi="Cambria"/>
                <w:b/>
                <w:color w:val="080808"/>
                <w:sz w:val="20"/>
                <w:szCs w:val="20"/>
                <w:lang w:val="es-CO"/>
              </w:rPr>
            </w:pPr>
            <w:r w:rsidRPr="00C87F91">
              <w:rPr>
                <w:rFonts w:ascii="Cambria" w:eastAsia="Batang" w:hAnsi="Cambria"/>
                <w:b/>
                <w:color w:val="000000"/>
                <w:sz w:val="20"/>
                <w:szCs w:val="20"/>
                <w:lang w:val="es-CO" w:eastAsia="es-ES_tradnl"/>
              </w:rPr>
              <w:t>Total</w:t>
            </w:r>
            <w:r w:rsidRPr="00C87F91">
              <w:rPr>
                <w:rStyle w:val="FootnoteReference"/>
                <w:rFonts w:ascii="Cambria" w:eastAsia="Batang" w:hAnsi="Cambria"/>
                <w:b/>
                <w:color w:val="080808"/>
                <w:sz w:val="20"/>
                <w:szCs w:val="20"/>
                <w:lang w:val="es-CO"/>
              </w:rPr>
              <w:footnoteReference w:id="1"/>
            </w:r>
          </w:p>
        </w:tc>
      </w:tr>
      <w:tr w:rsidR="000C1209" w:rsidRPr="00DA39D4" w14:paraId="584505AB" w14:textId="77777777" w:rsidTr="00D450C6">
        <w:trPr>
          <w:trHeight w:val="307"/>
          <w:jc w:val="center"/>
        </w:trPr>
        <w:tc>
          <w:tcPr>
            <w:tcW w:w="9333" w:type="dxa"/>
            <w:gridSpan w:val="2"/>
            <w:tcBorders>
              <w:top w:val="single" w:sz="4" w:space="0" w:color="auto"/>
              <w:left w:val="single" w:sz="4" w:space="0" w:color="auto"/>
              <w:bottom w:val="single" w:sz="4" w:space="0" w:color="auto"/>
              <w:right w:val="single" w:sz="4" w:space="0" w:color="auto"/>
            </w:tcBorders>
          </w:tcPr>
          <w:p w14:paraId="29E52EE6" w14:textId="77777777" w:rsidR="000C1209" w:rsidRPr="00C87F91" w:rsidRDefault="000C1209" w:rsidP="00D450C6">
            <w:pPr>
              <w:spacing w:after="0" w:line="240" w:lineRule="auto"/>
              <w:rPr>
                <w:rFonts w:ascii="Cambria" w:eastAsia="Batang" w:hAnsi="Cambria"/>
                <w:b/>
                <w:bCs/>
                <w:color w:val="000000"/>
                <w:sz w:val="20"/>
                <w:szCs w:val="20"/>
                <w:lang w:val="es-CO" w:eastAsia="es-ES_tradnl"/>
              </w:rPr>
            </w:pPr>
            <w:r w:rsidRPr="00C87F91">
              <w:rPr>
                <w:rFonts w:ascii="Cambria" w:eastAsia="Batang" w:hAnsi="Cambria"/>
                <w:b/>
                <w:bCs/>
                <w:color w:val="000000"/>
                <w:sz w:val="20"/>
                <w:szCs w:val="20"/>
                <w:lang w:val="es-CO" w:eastAsia="es-ES_tradnl"/>
              </w:rPr>
              <w:t>II. Acuerdo de Solución Amistosa</w:t>
            </w:r>
          </w:p>
        </w:tc>
      </w:tr>
      <w:tr w:rsidR="000C1209" w:rsidRPr="004947AF" w14:paraId="755B6168" w14:textId="77777777" w:rsidTr="00D450C6">
        <w:trPr>
          <w:trHeight w:val="994"/>
          <w:jc w:val="center"/>
        </w:trPr>
        <w:tc>
          <w:tcPr>
            <w:tcW w:w="7632" w:type="dxa"/>
            <w:tcBorders>
              <w:top w:val="single" w:sz="4" w:space="0" w:color="auto"/>
              <w:left w:val="single" w:sz="4" w:space="0" w:color="auto"/>
              <w:bottom w:val="single" w:sz="4" w:space="0" w:color="auto"/>
              <w:right w:val="single" w:sz="4" w:space="0" w:color="auto"/>
            </w:tcBorders>
          </w:tcPr>
          <w:p w14:paraId="6AF76256" w14:textId="77777777" w:rsidR="000C1209" w:rsidRPr="00C87F91" w:rsidRDefault="000C1209" w:rsidP="00D450C6">
            <w:pPr>
              <w:pStyle w:val="ListParagraph"/>
              <w:numPr>
                <w:ilvl w:val="0"/>
                <w:numId w:val="40"/>
              </w:numPr>
              <w:spacing w:after="0" w:line="240" w:lineRule="auto"/>
              <w:ind w:left="34" w:firstLine="0"/>
              <w:jc w:val="both"/>
              <w:rPr>
                <w:rFonts w:ascii="Cambria" w:hAnsi="Cambria"/>
                <w:sz w:val="20"/>
                <w:szCs w:val="20"/>
                <w:lang w:val="es-ES_tradnl"/>
              </w:rPr>
            </w:pPr>
            <w:r w:rsidRPr="00C87F91">
              <w:rPr>
                <w:rFonts w:ascii="Cambria" w:hAnsi="Cambria"/>
                <w:sz w:val="20"/>
                <w:szCs w:val="20"/>
                <w:lang w:val="es-ES_tradnl"/>
              </w:rPr>
              <w:t>La parte peticionaria manifiesta que las medidas acordadas con el Gobierno de la Provincia de Santa Fe se encuentran cumplidas en su totalidad y, en consecuencia, corresponde la rúbrica del acuerdo definitivo entre los peticionarios y el Estado argentino.</w:t>
            </w:r>
          </w:p>
          <w:p w14:paraId="2F8468B1" w14:textId="77777777" w:rsidR="000C1209" w:rsidRPr="00C87F91" w:rsidRDefault="000C1209" w:rsidP="00D450C6">
            <w:pPr>
              <w:spacing w:after="0" w:line="240" w:lineRule="auto"/>
              <w:ind w:left="34"/>
              <w:jc w:val="both"/>
              <w:rPr>
                <w:rFonts w:ascii="Cambria" w:hAnsi="Cambria"/>
                <w:color w:val="080808"/>
                <w:sz w:val="20"/>
                <w:szCs w:val="20"/>
                <w:lang w:val="es-CO"/>
              </w:rPr>
            </w:pPr>
            <w:r w:rsidRPr="00C87F91">
              <w:rPr>
                <w:rFonts w:ascii="Cambria" w:hAnsi="Cambria"/>
                <w:sz w:val="20"/>
                <w:szCs w:val="20"/>
                <w:lang w:val="es-ES_tradnl"/>
              </w:rPr>
              <w:t>B. Asimismo, la parte peticionaria manifiesta que renuncia de manera definitiva e irrevocable a iniciar todo otro reclamo de cualquier naturaleza con el Estado argentino en relación con el presente caso.</w:t>
            </w:r>
          </w:p>
        </w:tc>
        <w:tc>
          <w:tcPr>
            <w:tcW w:w="1701" w:type="dxa"/>
            <w:tcBorders>
              <w:top w:val="single" w:sz="4" w:space="0" w:color="auto"/>
              <w:left w:val="single" w:sz="4" w:space="0" w:color="auto"/>
              <w:bottom w:val="single" w:sz="4" w:space="0" w:color="auto"/>
              <w:right w:val="single" w:sz="4" w:space="0" w:color="auto"/>
            </w:tcBorders>
            <w:vAlign w:val="center"/>
          </w:tcPr>
          <w:p w14:paraId="05B11410" w14:textId="77777777" w:rsidR="000C1209" w:rsidRPr="00C87F91" w:rsidRDefault="000C1209" w:rsidP="00D450C6">
            <w:pPr>
              <w:spacing w:after="0" w:line="240" w:lineRule="auto"/>
              <w:jc w:val="center"/>
              <w:rPr>
                <w:rFonts w:ascii="Cambria" w:eastAsia="Batang" w:hAnsi="Cambria"/>
                <w:b/>
                <w:color w:val="080808"/>
                <w:sz w:val="20"/>
                <w:szCs w:val="20"/>
                <w:lang w:val="es-CO"/>
              </w:rPr>
            </w:pPr>
            <w:r w:rsidRPr="00C87F91">
              <w:rPr>
                <w:rFonts w:ascii="Cambria" w:eastAsia="Batang" w:hAnsi="Cambria"/>
                <w:b/>
                <w:bCs/>
                <w:color w:val="000000"/>
                <w:sz w:val="20"/>
                <w:szCs w:val="20"/>
                <w:lang w:val="es-CO" w:eastAsia="es-ES_tradnl"/>
              </w:rPr>
              <w:t>Cláusula Declarativa</w:t>
            </w:r>
          </w:p>
        </w:tc>
      </w:tr>
      <w:tr w:rsidR="000C1209" w:rsidRPr="004947AF" w14:paraId="133DF912" w14:textId="77777777" w:rsidTr="00D450C6">
        <w:trPr>
          <w:trHeight w:val="343"/>
          <w:jc w:val="center"/>
        </w:trPr>
        <w:tc>
          <w:tcPr>
            <w:tcW w:w="7632" w:type="dxa"/>
            <w:tcBorders>
              <w:top w:val="single" w:sz="4" w:space="0" w:color="auto"/>
              <w:left w:val="single" w:sz="4" w:space="0" w:color="auto"/>
              <w:bottom w:val="single" w:sz="4" w:space="0" w:color="auto"/>
              <w:right w:val="single" w:sz="4" w:space="0" w:color="auto"/>
            </w:tcBorders>
            <w:vAlign w:val="center"/>
          </w:tcPr>
          <w:p w14:paraId="4DB4CA71" w14:textId="77777777" w:rsidR="000C1209" w:rsidRPr="00C87F91" w:rsidRDefault="000C1209" w:rsidP="00D450C6">
            <w:pPr>
              <w:spacing w:after="0" w:line="240" w:lineRule="auto"/>
              <w:jc w:val="both"/>
              <w:rPr>
                <w:rFonts w:ascii="Cambria" w:hAnsi="Cambria"/>
                <w:b/>
                <w:bCs/>
                <w:color w:val="080808"/>
                <w:sz w:val="20"/>
                <w:szCs w:val="20"/>
                <w:lang w:val="es-CO"/>
              </w:rPr>
            </w:pPr>
            <w:r w:rsidRPr="00C87F91">
              <w:rPr>
                <w:rFonts w:ascii="Cambria" w:hAnsi="Cambria"/>
                <w:b/>
                <w:bCs/>
                <w:sz w:val="20"/>
                <w:szCs w:val="20"/>
                <w:lang w:val="es-CO"/>
              </w:rPr>
              <w:t>III. Petitorio</w:t>
            </w:r>
          </w:p>
        </w:tc>
        <w:tc>
          <w:tcPr>
            <w:tcW w:w="1701" w:type="dxa"/>
            <w:tcBorders>
              <w:top w:val="single" w:sz="4" w:space="0" w:color="auto"/>
              <w:left w:val="single" w:sz="4" w:space="0" w:color="auto"/>
              <w:bottom w:val="single" w:sz="4" w:space="0" w:color="auto"/>
              <w:right w:val="single" w:sz="4" w:space="0" w:color="auto"/>
            </w:tcBorders>
            <w:vAlign w:val="center"/>
          </w:tcPr>
          <w:p w14:paraId="2BC72E0A" w14:textId="77777777" w:rsidR="000C1209" w:rsidRPr="00C87F91" w:rsidRDefault="000C1209" w:rsidP="00D450C6">
            <w:pPr>
              <w:spacing w:after="0" w:line="240" w:lineRule="auto"/>
              <w:jc w:val="center"/>
              <w:rPr>
                <w:rFonts w:ascii="Cambria" w:eastAsia="Batang" w:hAnsi="Cambria"/>
                <w:b/>
                <w:color w:val="080808"/>
                <w:sz w:val="20"/>
                <w:szCs w:val="20"/>
                <w:lang w:val="es-CO"/>
              </w:rPr>
            </w:pPr>
            <w:r w:rsidRPr="00C87F91">
              <w:rPr>
                <w:rFonts w:ascii="Cambria" w:eastAsia="Batang" w:hAnsi="Cambria"/>
                <w:b/>
                <w:color w:val="080808"/>
                <w:sz w:val="20"/>
                <w:szCs w:val="20"/>
                <w:lang w:val="es-CO"/>
              </w:rPr>
              <w:t>Cláusula Declarativa</w:t>
            </w:r>
          </w:p>
        </w:tc>
      </w:tr>
    </w:tbl>
    <w:p w14:paraId="1979F764" w14:textId="77777777" w:rsidR="00A565B1" w:rsidRDefault="00A565B1" w:rsidP="00A565B1">
      <w:pPr>
        <w:autoSpaceDE w:val="0"/>
        <w:autoSpaceDN w:val="0"/>
        <w:adjustRightInd w:val="0"/>
        <w:spacing w:after="0" w:line="240" w:lineRule="auto"/>
        <w:jc w:val="both"/>
        <w:rPr>
          <w:rFonts w:ascii="Cambria" w:eastAsia="Batang" w:hAnsi="Cambria" w:cs="Calibri Light"/>
          <w:b/>
          <w:color w:val="080808"/>
          <w:lang w:val="es-CO"/>
        </w:rPr>
      </w:pPr>
    </w:p>
    <w:p w14:paraId="5F045A91" w14:textId="77777777" w:rsidR="000C1209" w:rsidRPr="0009182C" w:rsidRDefault="000C1209" w:rsidP="000C1209">
      <w:pPr>
        <w:numPr>
          <w:ilvl w:val="0"/>
          <w:numId w:val="37"/>
        </w:numPr>
        <w:autoSpaceDE w:val="0"/>
        <w:autoSpaceDN w:val="0"/>
        <w:adjustRightInd w:val="0"/>
        <w:spacing w:after="0" w:line="240" w:lineRule="auto"/>
        <w:ind w:left="0" w:firstLine="720"/>
        <w:jc w:val="both"/>
        <w:rPr>
          <w:rFonts w:ascii="Cambria" w:eastAsia="Batang" w:hAnsi="Cambria" w:cs="Calibri Light"/>
          <w:b/>
          <w:color w:val="080808"/>
          <w:lang w:val="es-CO"/>
        </w:rPr>
      </w:pPr>
      <w:r w:rsidRPr="0009182C">
        <w:rPr>
          <w:rFonts w:ascii="Cambria" w:eastAsia="Batang" w:hAnsi="Cambria" w:cs="Calibri Light"/>
          <w:b/>
          <w:color w:val="080808"/>
          <w:lang w:val="es-CO"/>
        </w:rPr>
        <w:t>NIVEL DE CUMPLIMIENTO DEL CASO</w:t>
      </w:r>
    </w:p>
    <w:p w14:paraId="45136456" w14:textId="77777777" w:rsidR="000C1209" w:rsidRPr="0009182C" w:rsidRDefault="000C1209" w:rsidP="000C1209">
      <w:pPr>
        <w:spacing w:after="0" w:line="240" w:lineRule="auto"/>
        <w:ind w:firstLine="720"/>
        <w:jc w:val="both"/>
        <w:rPr>
          <w:rFonts w:ascii="Cambria" w:eastAsia="Batang" w:hAnsi="Cambria" w:cs="Calibri Light"/>
          <w:color w:val="080808"/>
          <w:lang w:val="es-CO"/>
        </w:rPr>
      </w:pPr>
    </w:p>
    <w:p w14:paraId="64462E03" w14:textId="0592C40D" w:rsidR="003536C0" w:rsidRPr="00C87F91" w:rsidRDefault="000C1209" w:rsidP="003536C0">
      <w:pPr>
        <w:pStyle w:val="ListParagraph"/>
        <w:numPr>
          <w:ilvl w:val="0"/>
          <w:numId w:val="38"/>
        </w:numPr>
        <w:spacing w:after="0" w:line="240" w:lineRule="auto"/>
        <w:ind w:left="0" w:firstLine="709"/>
        <w:jc w:val="both"/>
        <w:rPr>
          <w:rFonts w:ascii="Cambria" w:hAnsi="Cambria"/>
          <w:color w:val="080808"/>
          <w:sz w:val="20"/>
          <w:szCs w:val="20"/>
          <w:lang w:val="es-CO"/>
        </w:rPr>
      </w:pPr>
      <w:r w:rsidRPr="00C87F91">
        <w:rPr>
          <w:rFonts w:ascii="Cambria" w:hAnsi="Cambria"/>
          <w:color w:val="080808"/>
          <w:sz w:val="20"/>
          <w:szCs w:val="20"/>
          <w:lang w:val="es-CO"/>
        </w:rPr>
        <w:t>La Comisión declaró el cumplimiento total del asunto y el cese del seguimiento del acuerdo de solución amistosa en el Informe Anual de 2023.</w:t>
      </w:r>
    </w:p>
    <w:p w14:paraId="7B515387" w14:textId="77777777" w:rsidR="007B34FF" w:rsidRPr="00500174" w:rsidRDefault="007B34FF" w:rsidP="00C87F91">
      <w:pPr>
        <w:pStyle w:val="ListParagraph"/>
        <w:spacing w:after="0" w:line="240" w:lineRule="auto"/>
        <w:ind w:left="709"/>
        <w:jc w:val="both"/>
        <w:rPr>
          <w:rFonts w:ascii="Cambria" w:hAnsi="Cambria"/>
          <w:color w:val="080808"/>
          <w:lang w:val="es-CO"/>
        </w:rPr>
      </w:pPr>
    </w:p>
    <w:p w14:paraId="577002B3" w14:textId="55D7F63C" w:rsidR="003536C0" w:rsidRPr="003536C0" w:rsidRDefault="003536C0" w:rsidP="003536C0">
      <w:pPr>
        <w:pStyle w:val="ListParagraph"/>
        <w:numPr>
          <w:ilvl w:val="0"/>
          <w:numId w:val="37"/>
        </w:numPr>
        <w:spacing w:after="0" w:line="240" w:lineRule="auto"/>
        <w:ind w:firstLine="259"/>
        <w:jc w:val="both"/>
        <w:rPr>
          <w:rFonts w:ascii="Cambria" w:eastAsia="Batang" w:hAnsi="Cambria" w:cs="Calibri Light"/>
          <w:b/>
          <w:color w:val="080808"/>
          <w:lang w:val="es-CO"/>
        </w:rPr>
      </w:pPr>
      <w:r w:rsidRPr="003536C0">
        <w:rPr>
          <w:rFonts w:ascii="Cambria" w:eastAsia="Batang" w:hAnsi="Cambria" w:cs="Calibri Light"/>
          <w:b/>
          <w:color w:val="080808"/>
          <w:lang w:val="es-CO"/>
        </w:rPr>
        <w:t xml:space="preserve">RESULTADOS INDIVIDUALES Y ESTRUCTURALES DEL CASO </w:t>
      </w:r>
    </w:p>
    <w:p w14:paraId="7F246D75" w14:textId="77777777" w:rsidR="003536C0" w:rsidRPr="0009182C" w:rsidRDefault="003536C0" w:rsidP="003536C0">
      <w:pPr>
        <w:spacing w:after="0" w:line="240" w:lineRule="auto"/>
        <w:ind w:firstLine="720"/>
        <w:contextualSpacing/>
        <w:jc w:val="both"/>
        <w:rPr>
          <w:rFonts w:ascii="Cambria" w:eastAsia="Batang" w:hAnsi="Cambria" w:cs="Calibri Light"/>
          <w:b/>
          <w:color w:val="080808"/>
          <w:lang w:val="es-CO"/>
        </w:rPr>
      </w:pPr>
    </w:p>
    <w:p w14:paraId="338818F1" w14:textId="77777777" w:rsidR="003536C0" w:rsidRPr="00C87F91" w:rsidRDefault="003536C0" w:rsidP="003536C0">
      <w:pPr>
        <w:numPr>
          <w:ilvl w:val="1"/>
          <w:numId w:val="37"/>
        </w:numPr>
        <w:spacing w:after="0" w:line="240" w:lineRule="auto"/>
        <w:ind w:hanging="101"/>
        <w:contextualSpacing/>
        <w:jc w:val="both"/>
        <w:rPr>
          <w:rFonts w:ascii="Cambria" w:eastAsia="Batang" w:hAnsi="Cambria" w:cs="Calibri Light"/>
          <w:b/>
          <w:color w:val="080808"/>
          <w:sz w:val="20"/>
          <w:szCs w:val="20"/>
          <w:lang w:val="es-CO"/>
        </w:rPr>
      </w:pPr>
      <w:r w:rsidRPr="00C87F91">
        <w:rPr>
          <w:rFonts w:ascii="Cambria" w:eastAsia="Batang" w:hAnsi="Cambria" w:cs="Calibri Light"/>
          <w:b/>
          <w:color w:val="080808"/>
          <w:sz w:val="20"/>
          <w:szCs w:val="20"/>
          <w:lang w:val="es-CO"/>
        </w:rPr>
        <w:t>Resultados individuales del caso</w:t>
      </w:r>
    </w:p>
    <w:p w14:paraId="26C5F177" w14:textId="77777777" w:rsidR="003536C0" w:rsidRPr="00C87F91" w:rsidRDefault="003536C0" w:rsidP="00C87F91">
      <w:pPr>
        <w:numPr>
          <w:ilvl w:val="0"/>
          <w:numId w:val="41"/>
        </w:numPr>
        <w:tabs>
          <w:tab w:val="clear" w:pos="720"/>
        </w:tabs>
        <w:spacing w:before="100" w:beforeAutospacing="1" w:after="100" w:afterAutospacing="1" w:line="240" w:lineRule="auto"/>
        <w:ind w:left="1440" w:hanging="720"/>
        <w:jc w:val="both"/>
        <w:rPr>
          <w:rFonts w:ascii="Cambria" w:eastAsia="Times New Roman" w:hAnsi="Cambria"/>
          <w:sz w:val="20"/>
          <w:szCs w:val="20"/>
          <w:lang w:val="es-AR" w:eastAsia="es-AR"/>
        </w:rPr>
      </w:pPr>
      <w:r w:rsidRPr="00C87F91">
        <w:rPr>
          <w:rFonts w:ascii="Cambria" w:eastAsia="Times New Roman" w:hAnsi="Cambria"/>
          <w:sz w:val="20"/>
          <w:szCs w:val="20"/>
          <w:lang w:val="es-AR" w:eastAsia="es-AR"/>
        </w:rPr>
        <w:t>Se otorgó la jubilación ordinaria al señor Carlos Andrés Fraticelli considerando los recaudos exigidos por la ley aplicable al 8 de noviembre 2014.</w:t>
      </w:r>
    </w:p>
    <w:p w14:paraId="12CD32C8" w14:textId="77777777" w:rsidR="003536C0" w:rsidRPr="00C87F91" w:rsidRDefault="003536C0" w:rsidP="00C87F91">
      <w:pPr>
        <w:numPr>
          <w:ilvl w:val="0"/>
          <w:numId w:val="41"/>
        </w:numPr>
        <w:tabs>
          <w:tab w:val="clear" w:pos="720"/>
        </w:tabs>
        <w:spacing w:before="100" w:beforeAutospacing="1" w:after="100" w:afterAutospacing="1" w:line="240" w:lineRule="auto"/>
        <w:ind w:left="1440" w:hanging="720"/>
        <w:jc w:val="both"/>
        <w:rPr>
          <w:rFonts w:ascii="Cambria" w:eastAsia="Times New Roman" w:hAnsi="Cambria"/>
          <w:sz w:val="20"/>
          <w:szCs w:val="20"/>
          <w:lang w:val="es-AR" w:eastAsia="es-AR"/>
        </w:rPr>
      </w:pPr>
      <w:r w:rsidRPr="00C87F91">
        <w:rPr>
          <w:rFonts w:ascii="Cambria" w:eastAsia="Times New Roman" w:hAnsi="Cambria"/>
          <w:sz w:val="20"/>
          <w:szCs w:val="20"/>
          <w:lang w:val="es-AR" w:eastAsia="es-AR"/>
        </w:rPr>
        <w:t>Se determinó el haber base jubilatorio con el 72% con 120 meses en el cargo docente terciario y 60 meses simultáneos en el cargo de juez de Primera Instancia de Distrito.</w:t>
      </w:r>
    </w:p>
    <w:p w14:paraId="6521E03F" w14:textId="77777777" w:rsidR="003536C0" w:rsidRPr="00C87F91" w:rsidRDefault="003536C0" w:rsidP="00C87F91">
      <w:pPr>
        <w:numPr>
          <w:ilvl w:val="0"/>
          <w:numId w:val="41"/>
        </w:numPr>
        <w:tabs>
          <w:tab w:val="clear" w:pos="720"/>
        </w:tabs>
        <w:spacing w:before="100" w:beforeAutospacing="1" w:after="100" w:afterAutospacing="1" w:line="240" w:lineRule="auto"/>
        <w:ind w:left="1440" w:hanging="720"/>
        <w:jc w:val="both"/>
        <w:rPr>
          <w:rFonts w:ascii="Cambria" w:eastAsia="Times New Roman" w:hAnsi="Cambria"/>
          <w:sz w:val="20"/>
          <w:szCs w:val="20"/>
          <w:lang w:val="es-AR" w:eastAsia="es-AR"/>
        </w:rPr>
      </w:pPr>
      <w:r w:rsidRPr="00C87F91">
        <w:rPr>
          <w:rFonts w:ascii="Cambria" w:eastAsia="Times New Roman" w:hAnsi="Cambria"/>
          <w:sz w:val="20"/>
          <w:szCs w:val="20"/>
          <w:lang w:val="es-AR" w:eastAsia="es-AR"/>
        </w:rPr>
        <w:t>Se estableció como fecha de pago del beneficio jubilatorio el 1 de marzo de 2016.</w:t>
      </w:r>
    </w:p>
    <w:p w14:paraId="7F9CFEB8" w14:textId="0D3E44AE" w:rsidR="003536C0" w:rsidRPr="00C87F91" w:rsidRDefault="003536C0" w:rsidP="00C87F91">
      <w:pPr>
        <w:numPr>
          <w:ilvl w:val="0"/>
          <w:numId w:val="41"/>
        </w:numPr>
        <w:tabs>
          <w:tab w:val="clear" w:pos="720"/>
        </w:tabs>
        <w:spacing w:before="100" w:beforeAutospacing="1" w:after="0" w:afterAutospacing="1" w:line="240" w:lineRule="auto"/>
        <w:ind w:left="1440" w:right="72" w:hanging="720"/>
        <w:jc w:val="both"/>
        <w:rPr>
          <w:rFonts w:ascii="Cambria" w:eastAsia="Times New Roman" w:hAnsi="Cambria"/>
          <w:sz w:val="20"/>
          <w:szCs w:val="20"/>
          <w:lang w:val="es-AR" w:eastAsia="es-ES_tradnl"/>
        </w:rPr>
      </w:pPr>
      <w:r w:rsidRPr="00C87F91">
        <w:rPr>
          <w:rFonts w:ascii="Cambria" w:eastAsia="Times New Roman" w:hAnsi="Cambria"/>
          <w:sz w:val="20"/>
          <w:szCs w:val="20"/>
          <w:lang w:val="es-AR" w:eastAsia="es-AR"/>
        </w:rPr>
        <w:lastRenderedPageBreak/>
        <w:t>El pago de los aportes personales en el cargo de juez por el período correspondiente a junio de 2010 a julio de 2015 que corresponden a la suma de $937.385,00 (novecientos treinta y siete mil trescientos ochenta y cinco mil pesos argentinos) fue abonado y se efectivizó con el descuento del 10% mensual de su haber jubilatorio hasta su total cancelació</w:t>
      </w:r>
      <w:r w:rsidR="00C52F00" w:rsidRPr="00C87F91">
        <w:rPr>
          <w:rFonts w:ascii="Cambria" w:eastAsia="Times New Roman" w:hAnsi="Cambria"/>
          <w:sz w:val="20"/>
          <w:szCs w:val="20"/>
          <w:lang w:val="es-AR" w:eastAsia="es-AR"/>
        </w:rPr>
        <w:t xml:space="preserve">n. </w:t>
      </w:r>
    </w:p>
    <w:sectPr w:rsidR="003536C0" w:rsidRPr="00C87F91" w:rsidSect="0099281F">
      <w:headerReference w:type="default" r:id="rId15"/>
      <w:footerReference w:type="default" r:id="rId16"/>
      <w:headerReference w:type="first" r:id="rId17"/>
      <w:footerReference w:type="first" r:id="rId18"/>
      <w:pgSz w:w="12240" w:h="15840"/>
      <w:pgMar w:top="1242" w:right="1440" w:bottom="1440" w:left="1440" w:header="720" w:footer="43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00581" w14:textId="77777777" w:rsidR="009B5D7D" w:rsidRDefault="009B5D7D" w:rsidP="00A343FF">
      <w:pPr>
        <w:spacing w:after="0" w:line="240" w:lineRule="auto"/>
      </w:pPr>
      <w:r>
        <w:separator/>
      </w:r>
    </w:p>
  </w:endnote>
  <w:endnote w:type="continuationSeparator" w:id="0">
    <w:p w14:paraId="3A143921" w14:textId="77777777" w:rsidR="009B5D7D" w:rsidRDefault="009B5D7D"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678442"/>
      <w:docPartObj>
        <w:docPartGallery w:val="Page Numbers (Bottom of Page)"/>
        <w:docPartUnique/>
      </w:docPartObj>
    </w:sdtPr>
    <w:sdtEndPr/>
    <w:sdtContent>
      <w:p w14:paraId="6CD613BE" w14:textId="77777777" w:rsidR="00DA39D4" w:rsidRDefault="006501E6" w:rsidP="00DA39D4">
        <w:pPr>
          <w:tabs>
            <w:tab w:val="center" w:pos="4680"/>
            <w:tab w:val="right" w:pos="9360"/>
          </w:tabs>
          <w:spacing w:after="0" w:line="360" w:lineRule="auto"/>
          <w:jc w:val="center"/>
          <w:rPr>
            <w:noProof/>
          </w:rPr>
        </w:pPr>
        <w:r>
          <w:rPr>
            <w:noProof/>
          </w:rPr>
          <w:pict w14:anchorId="2EB83BAC">
            <v:rect id="_x0000_i1026" style="width:441.9pt;height:.6pt" o:hralign="center" o:hrstd="t" o:hr="t" fillcolor="#a0a0a0" stroked="f"/>
          </w:pict>
        </w:r>
      </w:p>
      <w:p w14:paraId="6BC04D31" w14:textId="77777777" w:rsidR="00DA39D4" w:rsidRDefault="00DA39D4" w:rsidP="00DA39D4">
        <w:pPr>
          <w:pStyle w:val="Footer"/>
          <w:jc w:val="center"/>
        </w:pPr>
        <w:r>
          <w:rPr>
            <w:noProof/>
          </w:rPr>
          <w:drawing>
            <wp:inline distT="0" distB="0" distL="0" distR="0" wp14:anchorId="7A56BC20" wp14:editId="6C7C22FD">
              <wp:extent cx="5235575" cy="324485"/>
              <wp:effectExtent l="0" t="0" r="0" b="0"/>
              <wp:docPr id="759289694" name="Picture 7592896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5575" cy="324485"/>
                      </a:xfrm>
                      <a:prstGeom prst="rect">
                        <a:avLst/>
                      </a:prstGeom>
                      <a:noFill/>
                      <a:ln>
                        <a:noFill/>
                      </a:ln>
                    </pic:spPr>
                  </pic:pic>
                </a:graphicData>
              </a:graphic>
            </wp:inline>
          </w:drawing>
        </w:r>
      </w:p>
      <w:p w14:paraId="7DC3C125" w14:textId="6DD2653D" w:rsidR="00047016" w:rsidRDefault="006501E6">
        <w:pPr>
          <w:pStyle w:val="Footer"/>
          <w:jc w:val="center"/>
        </w:pPr>
      </w:p>
    </w:sdtContent>
  </w:sdt>
  <w:p w14:paraId="06C2AFAE" w14:textId="77777777" w:rsidR="00047016" w:rsidRDefault="000470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6254" w14:textId="688BA4F3" w:rsidR="00047016" w:rsidRDefault="006501E6" w:rsidP="00A565B1">
    <w:pPr>
      <w:tabs>
        <w:tab w:val="center" w:pos="4680"/>
        <w:tab w:val="right" w:pos="9360"/>
      </w:tabs>
      <w:spacing w:after="0" w:line="360" w:lineRule="auto"/>
      <w:jc w:val="center"/>
      <w:rPr>
        <w:noProof/>
      </w:rPr>
    </w:pPr>
    <w:r>
      <w:rPr>
        <w:noProof/>
      </w:rPr>
      <w:pict w14:anchorId="3C7CA93A">
        <v:rect id="_x0000_i1028" style="width:441.9pt;height:.6pt" o:hralign="center" o:hrstd="t" o:hr="t" fillcolor="#a0a0a0" stroked="f"/>
      </w:pict>
    </w:r>
  </w:p>
  <w:p w14:paraId="2B6FB705" w14:textId="7F06C463" w:rsidR="00047016" w:rsidRDefault="00A565B1" w:rsidP="00A565B1">
    <w:pPr>
      <w:pStyle w:val="Footer"/>
      <w:jc w:val="center"/>
    </w:pPr>
    <w:r>
      <w:rPr>
        <w:noProof/>
      </w:rPr>
      <w:drawing>
        <wp:inline distT="0" distB="0" distL="0" distR="0" wp14:anchorId="41A90765" wp14:editId="0C8D8A3B">
          <wp:extent cx="5235575" cy="324485"/>
          <wp:effectExtent l="0" t="0" r="0" b="0"/>
          <wp:docPr id="759289697" name="Picture 7592896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5575" cy="3244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435F6" w14:textId="77777777" w:rsidR="009B5D7D" w:rsidRDefault="009B5D7D" w:rsidP="00A343FF">
      <w:pPr>
        <w:spacing w:after="0" w:line="240" w:lineRule="auto"/>
      </w:pPr>
      <w:r>
        <w:separator/>
      </w:r>
    </w:p>
  </w:footnote>
  <w:footnote w:type="continuationSeparator" w:id="0">
    <w:p w14:paraId="1B5213E3" w14:textId="77777777" w:rsidR="009B5D7D" w:rsidRDefault="009B5D7D" w:rsidP="00A343FF">
      <w:pPr>
        <w:spacing w:after="0" w:line="240" w:lineRule="auto"/>
      </w:pPr>
      <w:r>
        <w:continuationSeparator/>
      </w:r>
    </w:p>
  </w:footnote>
  <w:footnote w:id="1">
    <w:p w14:paraId="6EFAFEFF" w14:textId="142CD121" w:rsidR="000C1209" w:rsidRPr="003536C0" w:rsidRDefault="000C1209" w:rsidP="003536C0">
      <w:pPr>
        <w:pStyle w:val="FootnoteText"/>
        <w:spacing w:line="240" w:lineRule="auto"/>
        <w:ind w:firstLine="709"/>
        <w:jc w:val="both"/>
        <w:rPr>
          <w:rFonts w:ascii="Cambria" w:hAnsi="Cambria"/>
          <w:sz w:val="16"/>
          <w:szCs w:val="16"/>
          <w:lang w:val="es-ES"/>
        </w:rPr>
      </w:pPr>
      <w:r w:rsidRPr="00C87F91">
        <w:rPr>
          <w:rStyle w:val="FootnoteReference"/>
          <w:rFonts w:ascii="Cambria" w:hAnsi="Cambria"/>
          <w:sz w:val="16"/>
          <w:szCs w:val="16"/>
        </w:rPr>
        <w:footnoteRef/>
      </w:r>
      <w:r w:rsidR="008E73EE" w:rsidRPr="00C87F91">
        <w:rPr>
          <w:rFonts w:ascii="Cambria" w:hAnsi="Cambria"/>
          <w:sz w:val="16"/>
          <w:szCs w:val="16"/>
          <w:lang w:val="es-US"/>
        </w:rPr>
        <w:t xml:space="preserve">CIDH, Informe No. </w:t>
      </w:r>
      <w:r w:rsidR="008E73EE" w:rsidRPr="00C87F91">
        <w:rPr>
          <w:rFonts w:ascii="Cambria" w:hAnsi="Cambria"/>
          <w:sz w:val="16"/>
          <w:szCs w:val="16"/>
          <w:lang w:val="es-ES_tradnl"/>
        </w:rPr>
        <w:t xml:space="preserve">220/23. </w:t>
      </w:r>
      <w:r w:rsidR="008E73EE" w:rsidRPr="00C87F91">
        <w:rPr>
          <w:rFonts w:ascii="Cambria" w:hAnsi="Cambria"/>
          <w:sz w:val="16"/>
          <w:szCs w:val="16"/>
          <w:lang w:val="es-ES"/>
        </w:rPr>
        <w:t xml:space="preserve">Caso 13.020. </w:t>
      </w:r>
      <w:r w:rsidR="008E73EE" w:rsidRPr="00C87F91">
        <w:rPr>
          <w:rFonts w:ascii="Cambria" w:hAnsi="Cambria"/>
          <w:sz w:val="16"/>
          <w:szCs w:val="16"/>
          <w:lang w:val="es-ES_tradnl"/>
        </w:rPr>
        <w:t>Solución Amistosa. Carlos Andrés Fraticelli. Argentina. 22 de octubre de 2023</w:t>
      </w:r>
      <w:r w:rsidR="008E73EE" w:rsidRPr="00C87F91">
        <w:rPr>
          <w:rFonts w:ascii="Cambria" w:hAnsi="Cambria"/>
          <w:sz w:val="16"/>
          <w:szCs w:val="16"/>
          <w:lang w:val="es-ES"/>
        </w:rPr>
        <w:t xml:space="preserve">. Disponible en: </w:t>
      </w:r>
      <w:hyperlink r:id="rId1" w:history="1">
        <w:r w:rsidR="003536C0" w:rsidRPr="00C87F91">
          <w:rPr>
            <w:rStyle w:val="Hyperlink"/>
            <w:rFonts w:ascii="Cambria" w:hAnsi="Cambria"/>
            <w:sz w:val="16"/>
            <w:szCs w:val="16"/>
            <w:lang w:val="es-ES"/>
          </w:rPr>
          <w:t>https://www.oas.org/es/cidh/decisiones/2023/AR%20SA%2013.020%20ES-FINAL%20WEB.PDF</w:t>
        </w:r>
      </w:hyperlink>
      <w:r w:rsidR="003536C0" w:rsidRPr="003536C0">
        <w:rPr>
          <w:rFonts w:ascii="Cambria" w:hAnsi="Cambria"/>
          <w:sz w:val="16"/>
          <w:szCs w:val="16"/>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057A" w14:textId="77777777" w:rsidR="00767683" w:rsidRPr="0058688A" w:rsidRDefault="00767683" w:rsidP="00767683">
    <w:pPr>
      <w:pStyle w:val="Header"/>
      <w:jc w:val="center"/>
      <w:rPr>
        <w:lang w:val="es-ES_tradnl"/>
      </w:rPr>
    </w:pPr>
    <w:bookmarkStart w:id="0" w:name="_Hlk129090305"/>
    <w:bookmarkStart w:id="1" w:name="_Hlk129090306"/>
    <w:bookmarkStart w:id="2" w:name="_Hlk129090399"/>
    <w:bookmarkStart w:id="3" w:name="_Hlk129090400"/>
    <w:bookmarkStart w:id="4" w:name="_Hlk129090413"/>
    <w:bookmarkStart w:id="5" w:name="_Hlk129090414"/>
    <w:bookmarkStart w:id="6" w:name="_Hlk129090871"/>
    <w:bookmarkStart w:id="7" w:name="_Hlk129090872"/>
    <w:bookmarkStart w:id="8" w:name="_Hlk129091030"/>
    <w:bookmarkStart w:id="9" w:name="_Hlk129091031"/>
    <w:bookmarkStart w:id="10" w:name="_Hlk129091177"/>
    <w:bookmarkStart w:id="11" w:name="_Hlk129091178"/>
    <w:bookmarkStart w:id="12" w:name="_Hlk129091943"/>
    <w:bookmarkStart w:id="13" w:name="_Hlk129091944"/>
    <w:bookmarkStart w:id="14" w:name="_Hlk129091951"/>
    <w:bookmarkStart w:id="15" w:name="_Hlk129091952"/>
    <w:bookmarkStart w:id="16" w:name="_Hlk129091955"/>
    <w:bookmarkStart w:id="17" w:name="_Hlk129091956"/>
    <w:bookmarkStart w:id="18" w:name="_Hlk129091959"/>
    <w:bookmarkStart w:id="19" w:name="_Hlk129091960"/>
    <w:bookmarkStart w:id="20" w:name="_Hlk129091963"/>
    <w:bookmarkStart w:id="21" w:name="_Hlk129091964"/>
    <w:bookmarkStart w:id="22" w:name="_Hlk129091966"/>
    <w:bookmarkStart w:id="23" w:name="_Hlk129091967"/>
    <w:bookmarkStart w:id="24" w:name="_Hlk129091970"/>
    <w:bookmarkStart w:id="25" w:name="_Hlk129091971"/>
    <w:bookmarkStart w:id="26" w:name="_Hlk129092063"/>
    <w:bookmarkStart w:id="27" w:name="_Hlk129092064"/>
    <w:r>
      <w:rPr>
        <w:noProof/>
        <w:lang w:val="es-ES_tradnl"/>
      </w:rPr>
      <w:drawing>
        <wp:inline distT="0" distB="0" distL="0" distR="0" wp14:anchorId="66B89292" wp14:editId="51DBE5D9">
          <wp:extent cx="2286000" cy="118110"/>
          <wp:effectExtent l="0" t="0" r="0" b="0"/>
          <wp:docPr id="759289693" name="Picture 759289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18110"/>
                  </a:xfrm>
                  <a:prstGeom prst="rect">
                    <a:avLst/>
                  </a:prstGeom>
                  <a:noFill/>
                  <a:ln>
                    <a:noFill/>
                  </a:ln>
                </pic:spPr>
              </pic:pic>
            </a:graphicData>
          </a:graphic>
        </wp:inline>
      </w:drawing>
    </w:r>
  </w:p>
  <w:p w14:paraId="6CF3F987" w14:textId="77777777" w:rsidR="00767683" w:rsidRDefault="006501E6" w:rsidP="00767683">
    <w:pPr>
      <w:pStyle w:val="Header"/>
    </w:pPr>
    <w:r>
      <w:pict w14:anchorId="115D0F1A">
        <v:rect id="_x0000_i1025" style="width:0;height:1.5pt" o:hralign="center" o:hrstd="t" o:hr="t" fillcolor="#a0a0a0" stroked="f"/>
      </w:pic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48175F28" w14:textId="66E7D400" w:rsidR="00C52F00" w:rsidRDefault="00C52F00" w:rsidP="00C52F00">
    <w:pPr>
      <w:pStyle w:val="Header"/>
    </w:pPr>
    <w:r>
      <w:tab/>
    </w:r>
  </w:p>
  <w:p w14:paraId="44F2FD5A" w14:textId="77777777" w:rsidR="00C52F00" w:rsidRDefault="00C52F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F5037" w14:textId="77777777" w:rsidR="00767683" w:rsidRDefault="00767683" w:rsidP="00767683">
    <w:pPr>
      <w:pStyle w:val="Header"/>
    </w:pPr>
    <w:bookmarkStart w:id="28" w:name="_Hlk129090378"/>
    <w:bookmarkStart w:id="29" w:name="_Hlk129090379"/>
    <w:bookmarkStart w:id="30" w:name="_Hlk129090860"/>
    <w:bookmarkStart w:id="31" w:name="_Hlk129090861"/>
    <w:bookmarkStart w:id="32" w:name="_Hlk129091020"/>
    <w:bookmarkStart w:id="33" w:name="_Hlk129091021"/>
    <w:bookmarkStart w:id="34" w:name="_Hlk129091166"/>
    <w:bookmarkStart w:id="35" w:name="_Hlk129091167"/>
    <w:bookmarkStart w:id="36" w:name="_Hlk129091892"/>
    <w:bookmarkStart w:id="37" w:name="_Hlk129091893"/>
    <w:bookmarkStart w:id="38" w:name="_Hlk129091899"/>
    <w:bookmarkStart w:id="39" w:name="_Hlk129091900"/>
    <w:bookmarkStart w:id="40" w:name="_Hlk129091905"/>
    <w:bookmarkStart w:id="41" w:name="_Hlk129091906"/>
    <w:bookmarkStart w:id="42" w:name="_Hlk129091911"/>
    <w:bookmarkStart w:id="43" w:name="_Hlk129091912"/>
    <w:bookmarkStart w:id="44" w:name="_Hlk129091916"/>
    <w:bookmarkStart w:id="45" w:name="_Hlk129091917"/>
    <w:bookmarkStart w:id="46" w:name="_Hlk129091922"/>
    <w:bookmarkStart w:id="47" w:name="_Hlk129091923"/>
    <w:bookmarkStart w:id="48" w:name="_Hlk129091926"/>
    <w:bookmarkStart w:id="49" w:name="_Hlk129091927"/>
    <w:bookmarkStart w:id="50" w:name="_Hlk129092049"/>
    <w:bookmarkStart w:id="51" w:name="_Hlk129092050"/>
    <w:r w:rsidRPr="008A5CB5">
      <w:rPr>
        <w:noProof/>
      </w:rPr>
      <w:drawing>
        <wp:inline distT="0" distB="0" distL="0" distR="0" wp14:anchorId="15C5DC8A" wp14:editId="62AA4836">
          <wp:extent cx="2345055" cy="457200"/>
          <wp:effectExtent l="0" t="0" r="0" b="0"/>
          <wp:docPr id="759289695" name="Picture 759289695"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5055" cy="457200"/>
                  </a:xfrm>
                  <a:prstGeom prst="rect">
                    <a:avLst/>
                  </a:prstGeom>
                  <a:noFill/>
                  <a:ln>
                    <a:noFill/>
                  </a:ln>
                </pic:spPr>
              </pic:pic>
            </a:graphicData>
          </a:graphic>
        </wp:inline>
      </w:drawing>
    </w:r>
    <w:r>
      <w:tab/>
    </w:r>
    <w:r>
      <w:tab/>
    </w:r>
    <w:r>
      <w:rPr>
        <w:noProof/>
      </w:rPr>
      <w:drawing>
        <wp:inline distT="0" distB="0" distL="0" distR="0" wp14:anchorId="39A134A8" wp14:editId="786DE03A">
          <wp:extent cx="1943100" cy="495300"/>
          <wp:effectExtent l="0" t="0" r="0" b="0"/>
          <wp:docPr id="759289696" name="Picture 75928969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230684" name="Picture 11" descr="Logotip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48E683E8" w14:textId="53E510E4" w:rsidR="00C52F00" w:rsidRDefault="006501E6" w:rsidP="00767683">
    <w:pPr>
      <w:pStyle w:val="Header"/>
    </w:pPr>
    <w:r>
      <w:pict w14:anchorId="1905C1FA">
        <v:rect id="_x0000_i1027" style="width:0;height:1.5pt" o:hralign="center" o:hrstd="t" o:hr="t" fillcolor="#a0a0a0" stroked="f"/>
      </w:pic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7C6"/>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 w15:restartNumberingAfterBreak="0">
    <w:nsid w:val="06367BDB"/>
    <w:multiLevelType w:val="hybridMultilevel"/>
    <w:tmpl w:val="61D47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3402E"/>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3" w15:restartNumberingAfterBreak="0">
    <w:nsid w:val="11B45238"/>
    <w:multiLevelType w:val="hybridMultilevel"/>
    <w:tmpl w:val="E132C0D0"/>
    <w:lvl w:ilvl="0" w:tplc="65526156">
      <w:start w:val="1"/>
      <w:numFmt w:val="bullet"/>
      <w:lvlText w:val=""/>
      <w:lvlJc w:val="left"/>
      <w:pPr>
        <w:ind w:left="1530" w:hanging="360"/>
      </w:pPr>
      <w:rPr>
        <w:rFonts w:ascii="Symbol" w:hAnsi="Symbol" w:hint="default"/>
        <w:color w:val="000000"/>
        <w:sz w:val="20"/>
        <w:szCs w:val="20"/>
      </w:rPr>
    </w:lvl>
    <w:lvl w:ilvl="1" w:tplc="0C0A0003">
      <w:start w:val="1"/>
      <w:numFmt w:val="bullet"/>
      <w:lvlText w:val="o"/>
      <w:lvlJc w:val="left"/>
      <w:pPr>
        <w:ind w:left="2250" w:hanging="360"/>
      </w:pPr>
      <w:rPr>
        <w:rFonts w:ascii="Courier New" w:hAnsi="Courier New" w:cs="Courier New" w:hint="default"/>
      </w:rPr>
    </w:lvl>
    <w:lvl w:ilvl="2" w:tplc="0C0A0005" w:tentative="1">
      <w:start w:val="1"/>
      <w:numFmt w:val="bullet"/>
      <w:lvlText w:val=""/>
      <w:lvlJc w:val="left"/>
      <w:pPr>
        <w:ind w:left="2970" w:hanging="360"/>
      </w:pPr>
      <w:rPr>
        <w:rFonts w:ascii="Wingdings" w:hAnsi="Wingdings" w:hint="default"/>
      </w:rPr>
    </w:lvl>
    <w:lvl w:ilvl="3" w:tplc="0C0A0001" w:tentative="1">
      <w:start w:val="1"/>
      <w:numFmt w:val="bullet"/>
      <w:lvlText w:val=""/>
      <w:lvlJc w:val="left"/>
      <w:pPr>
        <w:ind w:left="3690" w:hanging="360"/>
      </w:pPr>
      <w:rPr>
        <w:rFonts w:ascii="Symbol" w:hAnsi="Symbol" w:hint="default"/>
      </w:rPr>
    </w:lvl>
    <w:lvl w:ilvl="4" w:tplc="0C0A0003" w:tentative="1">
      <w:start w:val="1"/>
      <w:numFmt w:val="bullet"/>
      <w:lvlText w:val="o"/>
      <w:lvlJc w:val="left"/>
      <w:pPr>
        <w:ind w:left="4410" w:hanging="360"/>
      </w:pPr>
      <w:rPr>
        <w:rFonts w:ascii="Courier New" w:hAnsi="Courier New" w:cs="Courier New" w:hint="default"/>
      </w:rPr>
    </w:lvl>
    <w:lvl w:ilvl="5" w:tplc="0C0A0005" w:tentative="1">
      <w:start w:val="1"/>
      <w:numFmt w:val="bullet"/>
      <w:lvlText w:val=""/>
      <w:lvlJc w:val="left"/>
      <w:pPr>
        <w:ind w:left="5130" w:hanging="360"/>
      </w:pPr>
      <w:rPr>
        <w:rFonts w:ascii="Wingdings" w:hAnsi="Wingdings" w:hint="default"/>
      </w:rPr>
    </w:lvl>
    <w:lvl w:ilvl="6" w:tplc="0C0A0001" w:tentative="1">
      <w:start w:val="1"/>
      <w:numFmt w:val="bullet"/>
      <w:lvlText w:val=""/>
      <w:lvlJc w:val="left"/>
      <w:pPr>
        <w:ind w:left="5850" w:hanging="360"/>
      </w:pPr>
      <w:rPr>
        <w:rFonts w:ascii="Symbol" w:hAnsi="Symbol" w:hint="default"/>
      </w:rPr>
    </w:lvl>
    <w:lvl w:ilvl="7" w:tplc="0C0A0003" w:tentative="1">
      <w:start w:val="1"/>
      <w:numFmt w:val="bullet"/>
      <w:lvlText w:val="o"/>
      <w:lvlJc w:val="left"/>
      <w:pPr>
        <w:ind w:left="6570" w:hanging="360"/>
      </w:pPr>
      <w:rPr>
        <w:rFonts w:ascii="Courier New" w:hAnsi="Courier New" w:cs="Courier New" w:hint="default"/>
      </w:rPr>
    </w:lvl>
    <w:lvl w:ilvl="8" w:tplc="0C0A0005" w:tentative="1">
      <w:start w:val="1"/>
      <w:numFmt w:val="bullet"/>
      <w:lvlText w:val=""/>
      <w:lvlJc w:val="left"/>
      <w:pPr>
        <w:ind w:left="7290" w:hanging="360"/>
      </w:pPr>
      <w:rPr>
        <w:rFonts w:ascii="Wingdings" w:hAnsi="Wingdings" w:hint="default"/>
      </w:rPr>
    </w:lvl>
  </w:abstractNum>
  <w:abstractNum w:abstractNumId="4" w15:restartNumberingAfterBreak="0">
    <w:nsid w:val="13E57989"/>
    <w:multiLevelType w:val="hybridMultilevel"/>
    <w:tmpl w:val="4E486E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67C4600"/>
    <w:multiLevelType w:val="multilevel"/>
    <w:tmpl w:val="4E8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45C5A"/>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8" w15:restartNumberingAfterBreak="0">
    <w:nsid w:val="26390C79"/>
    <w:multiLevelType w:val="hybridMultilevel"/>
    <w:tmpl w:val="641865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F95D2A"/>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A40412"/>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2833C9"/>
    <w:multiLevelType w:val="hybridMultilevel"/>
    <w:tmpl w:val="DC6219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8282297"/>
    <w:multiLevelType w:val="hybridMultilevel"/>
    <w:tmpl w:val="02EC50FC"/>
    <w:lvl w:ilvl="0" w:tplc="3E9AE710">
      <w:start w:val="1"/>
      <w:numFmt w:val="lowerLetter"/>
      <w:lvlText w:val="%1)"/>
      <w:lvlJc w:val="left"/>
      <w:pPr>
        <w:ind w:left="720" w:hanging="360"/>
      </w:pPr>
      <w:rPr>
        <w:rFonts w:eastAsia="Batang" w:cs="Calibri Light" w:hint="default"/>
        <w:color w:val="00000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57121D"/>
    <w:multiLevelType w:val="hybridMultilevel"/>
    <w:tmpl w:val="D98A1BAC"/>
    <w:lvl w:ilvl="0" w:tplc="5732853C">
      <w:start w:val="1"/>
      <w:numFmt w:val="decimal"/>
      <w:lvlText w:val="%1)"/>
      <w:lvlJc w:val="left"/>
      <w:pPr>
        <w:ind w:left="720" w:hanging="360"/>
      </w:pPr>
      <w:rPr>
        <w:rFonts w:eastAsia="MS Mincho" w:hint="default"/>
        <w:color w:val="00000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AD06FD1"/>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5" w15:restartNumberingAfterBreak="0">
    <w:nsid w:val="3E520190"/>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067251"/>
    <w:multiLevelType w:val="hybridMultilevel"/>
    <w:tmpl w:val="175EF996"/>
    <w:lvl w:ilvl="0" w:tplc="841A3D5C">
      <w:start w:val="1"/>
      <w:numFmt w:val="decimal"/>
      <w:lvlText w:val="%1."/>
      <w:lvlJc w:val="left"/>
      <w:pPr>
        <w:ind w:left="360" w:hanging="360"/>
      </w:pPr>
      <w:rPr>
        <w:rFonts w:ascii="Cambria" w:hAnsi="Cambria" w:cs="Times New Roman" w:hint="default"/>
        <w:b w:val="0"/>
        <w:i w:val="0"/>
        <w:color w:val="000000"/>
        <w:sz w:val="20"/>
        <w:szCs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7971D65"/>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8" w15:restartNumberingAfterBreak="0">
    <w:nsid w:val="48714DE0"/>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BB10173"/>
    <w:multiLevelType w:val="hybridMultilevel"/>
    <w:tmpl w:val="32568B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D17221E"/>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1" w15:restartNumberingAfterBreak="0">
    <w:nsid w:val="4D6C6395"/>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2" w15:restartNumberingAfterBreak="0">
    <w:nsid w:val="53E961B8"/>
    <w:multiLevelType w:val="hybridMultilevel"/>
    <w:tmpl w:val="2438E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4149C6"/>
    <w:multiLevelType w:val="hybridMultilevel"/>
    <w:tmpl w:val="8CCAC1AA"/>
    <w:lvl w:ilvl="0" w:tplc="495802DE">
      <w:start w:val="1"/>
      <w:numFmt w:val="decimal"/>
      <w:lvlText w:val="%1."/>
      <w:lvlJc w:val="left"/>
      <w:pPr>
        <w:ind w:left="360" w:hanging="360"/>
      </w:pPr>
      <w:rPr>
        <w:rFonts w:ascii="Cambria" w:hAnsi="Cambria" w:cs="Times New Roman" w:hint="default"/>
        <w:b w:val="0"/>
        <w:i w:val="0"/>
        <w:color w:val="0000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6BF1885"/>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5" w15:restartNumberingAfterBreak="0">
    <w:nsid w:val="5B510B42"/>
    <w:multiLevelType w:val="hybridMultilevel"/>
    <w:tmpl w:val="33A6B1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5C7B19C8"/>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7" w15:restartNumberingAfterBreak="0">
    <w:nsid w:val="5E704826"/>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29776AC"/>
    <w:multiLevelType w:val="hybridMultilevel"/>
    <w:tmpl w:val="AED230A0"/>
    <w:lvl w:ilvl="0" w:tplc="B37AC236">
      <w:start w:val="1"/>
      <w:numFmt w:val="decimal"/>
      <w:lvlText w:val="%1."/>
      <w:lvlJc w:val="left"/>
      <w:pPr>
        <w:ind w:left="360" w:hanging="360"/>
      </w:pPr>
      <w:rPr>
        <w:rFonts w:ascii="Cambria" w:hAnsi="Cambria" w:cs="Times New Roman" w:hint="default"/>
        <w:b w:val="0"/>
        <w:i w:val="0"/>
        <w:color w:val="0000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44C0C9D"/>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30" w15:restartNumberingAfterBreak="0">
    <w:nsid w:val="68F67409"/>
    <w:multiLevelType w:val="multilevel"/>
    <w:tmpl w:val="957A0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E83646"/>
    <w:multiLevelType w:val="hybridMultilevel"/>
    <w:tmpl w:val="AB56968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15:restartNumberingAfterBreak="0">
    <w:nsid w:val="71593CC7"/>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33" w15:restartNumberingAfterBreak="0">
    <w:nsid w:val="75A45987"/>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775151D"/>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A030E23"/>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AF309D9"/>
    <w:multiLevelType w:val="hybridMultilevel"/>
    <w:tmpl w:val="2E027020"/>
    <w:lvl w:ilvl="0" w:tplc="04090015">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7B2F0793"/>
    <w:multiLevelType w:val="hybridMultilevel"/>
    <w:tmpl w:val="6A1C3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4148AA"/>
    <w:multiLevelType w:val="singleLevel"/>
    <w:tmpl w:val="D2E42AE6"/>
    <w:lvl w:ilvl="0">
      <w:start w:val="1"/>
      <w:numFmt w:val="decimal"/>
      <w:lvlText w:val="%1."/>
      <w:lvlJc w:val="left"/>
      <w:pPr>
        <w:tabs>
          <w:tab w:val="num" w:pos="1110"/>
        </w:tabs>
        <w:ind w:left="1110" w:hanging="390"/>
      </w:pPr>
      <w:rPr>
        <w:rFonts w:hint="default"/>
      </w:rPr>
    </w:lvl>
  </w:abstractNum>
  <w:abstractNum w:abstractNumId="39" w15:restartNumberingAfterBreak="0">
    <w:nsid w:val="7D4E5D74"/>
    <w:multiLevelType w:val="hybridMultilevel"/>
    <w:tmpl w:val="E530F4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0" w15:restartNumberingAfterBreak="0">
    <w:nsid w:val="7DE87ABB"/>
    <w:multiLevelType w:val="hybridMultilevel"/>
    <w:tmpl w:val="E26844CE"/>
    <w:lvl w:ilvl="0" w:tplc="34E00408">
      <w:start w:val="1"/>
      <w:numFmt w:val="upperRoman"/>
      <w:lvlText w:val="%1."/>
      <w:lvlJc w:val="left"/>
      <w:pPr>
        <w:ind w:left="450" w:hanging="720"/>
      </w:pPr>
      <w:rPr>
        <w:rFonts w:hint="default"/>
        <w:b/>
        <w:color w:val="000000"/>
      </w:rPr>
    </w:lvl>
    <w:lvl w:ilvl="1" w:tplc="9CF60978">
      <w:start w:val="1"/>
      <w:numFmt w:val="upperLetter"/>
      <w:lvlText w:val="%2."/>
      <w:lvlJc w:val="left"/>
      <w:pPr>
        <w:ind w:left="810" w:hanging="360"/>
      </w:pPr>
      <w:rPr>
        <w:rFonts w:hint="default"/>
      </w:rPr>
    </w:lvl>
    <w:lvl w:ilvl="2" w:tplc="0C0A001B" w:tentative="1">
      <w:start w:val="1"/>
      <w:numFmt w:val="lowerRoman"/>
      <w:lvlText w:val="%3."/>
      <w:lvlJc w:val="right"/>
      <w:pPr>
        <w:ind w:left="1530" w:hanging="180"/>
      </w:pPr>
    </w:lvl>
    <w:lvl w:ilvl="3" w:tplc="0C0A000F" w:tentative="1">
      <w:start w:val="1"/>
      <w:numFmt w:val="decimal"/>
      <w:lvlText w:val="%4."/>
      <w:lvlJc w:val="left"/>
      <w:pPr>
        <w:ind w:left="2250" w:hanging="360"/>
      </w:pPr>
    </w:lvl>
    <w:lvl w:ilvl="4" w:tplc="0C0A0019" w:tentative="1">
      <w:start w:val="1"/>
      <w:numFmt w:val="lowerLetter"/>
      <w:lvlText w:val="%5."/>
      <w:lvlJc w:val="left"/>
      <w:pPr>
        <w:ind w:left="2970" w:hanging="360"/>
      </w:pPr>
    </w:lvl>
    <w:lvl w:ilvl="5" w:tplc="0C0A001B" w:tentative="1">
      <w:start w:val="1"/>
      <w:numFmt w:val="lowerRoman"/>
      <w:lvlText w:val="%6."/>
      <w:lvlJc w:val="right"/>
      <w:pPr>
        <w:ind w:left="3690" w:hanging="180"/>
      </w:pPr>
    </w:lvl>
    <w:lvl w:ilvl="6" w:tplc="0C0A000F" w:tentative="1">
      <w:start w:val="1"/>
      <w:numFmt w:val="decimal"/>
      <w:lvlText w:val="%7."/>
      <w:lvlJc w:val="left"/>
      <w:pPr>
        <w:ind w:left="4410" w:hanging="360"/>
      </w:pPr>
    </w:lvl>
    <w:lvl w:ilvl="7" w:tplc="0C0A0019" w:tentative="1">
      <w:start w:val="1"/>
      <w:numFmt w:val="lowerLetter"/>
      <w:lvlText w:val="%8."/>
      <w:lvlJc w:val="left"/>
      <w:pPr>
        <w:ind w:left="5130" w:hanging="360"/>
      </w:pPr>
    </w:lvl>
    <w:lvl w:ilvl="8" w:tplc="0C0A001B" w:tentative="1">
      <w:start w:val="1"/>
      <w:numFmt w:val="lowerRoman"/>
      <w:lvlText w:val="%9."/>
      <w:lvlJc w:val="right"/>
      <w:pPr>
        <w:ind w:left="5850" w:hanging="180"/>
      </w:pPr>
    </w:lvl>
  </w:abstractNum>
  <w:num w:numId="1" w16cid:durableId="1886792554">
    <w:abstractNumId w:val="38"/>
  </w:num>
  <w:num w:numId="2" w16cid:durableId="1198784672">
    <w:abstractNumId w:val="3"/>
  </w:num>
  <w:num w:numId="3" w16cid:durableId="946815819">
    <w:abstractNumId w:val="36"/>
  </w:num>
  <w:num w:numId="4" w16cid:durableId="1735083488">
    <w:abstractNumId w:val="19"/>
  </w:num>
  <w:num w:numId="5" w16cid:durableId="1809080309">
    <w:abstractNumId w:val="16"/>
  </w:num>
  <w:num w:numId="6" w16cid:durableId="2000111282">
    <w:abstractNumId w:val="40"/>
  </w:num>
  <w:num w:numId="7" w16cid:durableId="1182233948">
    <w:abstractNumId w:val="8"/>
  </w:num>
  <w:num w:numId="8" w16cid:durableId="653609088">
    <w:abstractNumId w:val="32"/>
  </w:num>
  <w:num w:numId="9" w16cid:durableId="263657786">
    <w:abstractNumId w:val="10"/>
  </w:num>
  <w:num w:numId="10" w16cid:durableId="1629429028">
    <w:abstractNumId w:val="2"/>
  </w:num>
  <w:num w:numId="11" w16cid:durableId="1415277257">
    <w:abstractNumId w:val="7"/>
  </w:num>
  <w:num w:numId="12" w16cid:durableId="98719486">
    <w:abstractNumId w:val="9"/>
  </w:num>
  <w:num w:numId="13" w16cid:durableId="643854056">
    <w:abstractNumId w:val="29"/>
  </w:num>
  <w:num w:numId="14" w16cid:durableId="1517694182">
    <w:abstractNumId w:val="12"/>
  </w:num>
  <w:num w:numId="15" w16cid:durableId="815797891">
    <w:abstractNumId w:val="35"/>
  </w:num>
  <w:num w:numId="16" w16cid:durableId="251282083">
    <w:abstractNumId w:val="6"/>
  </w:num>
  <w:num w:numId="17" w16cid:durableId="1185630687">
    <w:abstractNumId w:val="20"/>
  </w:num>
  <w:num w:numId="18" w16cid:durableId="938754063">
    <w:abstractNumId w:val="27"/>
  </w:num>
  <w:num w:numId="19" w16cid:durableId="287009962">
    <w:abstractNumId w:val="22"/>
  </w:num>
  <w:num w:numId="20" w16cid:durableId="1427114931">
    <w:abstractNumId w:val="0"/>
  </w:num>
  <w:num w:numId="21" w16cid:durableId="1996837994">
    <w:abstractNumId w:val="15"/>
  </w:num>
  <w:num w:numId="22" w16cid:durableId="1249198344">
    <w:abstractNumId w:val="1"/>
  </w:num>
  <w:num w:numId="23" w16cid:durableId="1945647392">
    <w:abstractNumId w:val="24"/>
  </w:num>
  <w:num w:numId="24" w16cid:durableId="537162661">
    <w:abstractNumId w:val="28"/>
  </w:num>
  <w:num w:numId="25" w16cid:durableId="1989938239">
    <w:abstractNumId w:val="17"/>
  </w:num>
  <w:num w:numId="26" w16cid:durableId="1967273059">
    <w:abstractNumId w:val="33"/>
  </w:num>
  <w:num w:numId="27" w16cid:durableId="1065761970">
    <w:abstractNumId w:val="13"/>
  </w:num>
  <w:num w:numId="28" w16cid:durableId="45295993">
    <w:abstractNumId w:val="4"/>
  </w:num>
  <w:num w:numId="29" w16cid:durableId="698167985">
    <w:abstractNumId w:val="21"/>
  </w:num>
  <w:num w:numId="30" w16cid:durableId="1709643113">
    <w:abstractNumId w:val="34"/>
  </w:num>
  <w:num w:numId="31" w16cid:durableId="934480746">
    <w:abstractNumId w:val="31"/>
  </w:num>
  <w:num w:numId="32" w16cid:durableId="541211672">
    <w:abstractNumId w:val="11"/>
  </w:num>
  <w:num w:numId="33" w16cid:durableId="1345130465">
    <w:abstractNumId w:val="26"/>
  </w:num>
  <w:num w:numId="34" w16cid:durableId="1757743752">
    <w:abstractNumId w:val="23"/>
  </w:num>
  <w:num w:numId="35" w16cid:durableId="83184206">
    <w:abstractNumId w:val="5"/>
  </w:num>
  <w:num w:numId="36" w16cid:durableId="1037505896">
    <w:abstractNumId w:val="39"/>
  </w:num>
  <w:num w:numId="37" w16cid:durableId="1162084678">
    <w:abstractNumId w:val="14"/>
  </w:num>
  <w:num w:numId="38" w16cid:durableId="247926190">
    <w:abstractNumId w:val="18"/>
  </w:num>
  <w:num w:numId="39" w16cid:durableId="679545895">
    <w:abstractNumId w:val="25"/>
  </w:num>
  <w:num w:numId="40" w16cid:durableId="1253398376">
    <w:abstractNumId w:val="37"/>
  </w:num>
  <w:num w:numId="41" w16cid:durableId="137129638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6C"/>
    <w:rsid w:val="00003994"/>
    <w:rsid w:val="00004375"/>
    <w:rsid w:val="0001720F"/>
    <w:rsid w:val="00027373"/>
    <w:rsid w:val="00034722"/>
    <w:rsid w:val="00037EE7"/>
    <w:rsid w:val="00047016"/>
    <w:rsid w:val="0005228B"/>
    <w:rsid w:val="0006625E"/>
    <w:rsid w:val="00080F92"/>
    <w:rsid w:val="00082741"/>
    <w:rsid w:val="000840A1"/>
    <w:rsid w:val="0009182C"/>
    <w:rsid w:val="000974AD"/>
    <w:rsid w:val="000A0354"/>
    <w:rsid w:val="000A1EFD"/>
    <w:rsid w:val="000C1209"/>
    <w:rsid w:val="000F4520"/>
    <w:rsid w:val="000F6AC8"/>
    <w:rsid w:val="001007BC"/>
    <w:rsid w:val="00106C59"/>
    <w:rsid w:val="00121A07"/>
    <w:rsid w:val="00132D55"/>
    <w:rsid w:val="00134455"/>
    <w:rsid w:val="00162E82"/>
    <w:rsid w:val="00163E52"/>
    <w:rsid w:val="00165833"/>
    <w:rsid w:val="00165C18"/>
    <w:rsid w:val="0016622B"/>
    <w:rsid w:val="00183508"/>
    <w:rsid w:val="001873B5"/>
    <w:rsid w:val="001A3385"/>
    <w:rsid w:val="001B1DFD"/>
    <w:rsid w:val="001C0A6D"/>
    <w:rsid w:val="001C230A"/>
    <w:rsid w:val="001C3868"/>
    <w:rsid w:val="001F2517"/>
    <w:rsid w:val="001F495A"/>
    <w:rsid w:val="00207F72"/>
    <w:rsid w:val="00212F55"/>
    <w:rsid w:val="0021669C"/>
    <w:rsid w:val="00217A39"/>
    <w:rsid w:val="00217F58"/>
    <w:rsid w:val="00231B7D"/>
    <w:rsid w:val="00237569"/>
    <w:rsid w:val="00250058"/>
    <w:rsid w:val="00254A60"/>
    <w:rsid w:val="00260DDA"/>
    <w:rsid w:val="00266F49"/>
    <w:rsid w:val="0027451C"/>
    <w:rsid w:val="00276284"/>
    <w:rsid w:val="00280C07"/>
    <w:rsid w:val="002A1ED6"/>
    <w:rsid w:val="002A39B2"/>
    <w:rsid w:val="002A4BAC"/>
    <w:rsid w:val="002A5F4A"/>
    <w:rsid w:val="002B0B2A"/>
    <w:rsid w:val="002B46D3"/>
    <w:rsid w:val="002B46E1"/>
    <w:rsid w:val="002C446E"/>
    <w:rsid w:val="002D3990"/>
    <w:rsid w:val="002D3FBD"/>
    <w:rsid w:val="002E03E0"/>
    <w:rsid w:val="00301A2A"/>
    <w:rsid w:val="00324282"/>
    <w:rsid w:val="003536C0"/>
    <w:rsid w:val="00360412"/>
    <w:rsid w:val="003608B4"/>
    <w:rsid w:val="00376A6A"/>
    <w:rsid w:val="00393310"/>
    <w:rsid w:val="003A30C8"/>
    <w:rsid w:val="003B3362"/>
    <w:rsid w:val="003B479F"/>
    <w:rsid w:val="003D4630"/>
    <w:rsid w:val="003E3690"/>
    <w:rsid w:val="0041071F"/>
    <w:rsid w:val="00412204"/>
    <w:rsid w:val="0041423F"/>
    <w:rsid w:val="00425C1D"/>
    <w:rsid w:val="004506DA"/>
    <w:rsid w:val="0047175E"/>
    <w:rsid w:val="00477809"/>
    <w:rsid w:val="00483B3C"/>
    <w:rsid w:val="00483CF7"/>
    <w:rsid w:val="004947AF"/>
    <w:rsid w:val="00497B73"/>
    <w:rsid w:val="004A15BA"/>
    <w:rsid w:val="004A2550"/>
    <w:rsid w:val="004B6622"/>
    <w:rsid w:val="004C0674"/>
    <w:rsid w:val="004C318E"/>
    <w:rsid w:val="004C4D9C"/>
    <w:rsid w:val="004D7999"/>
    <w:rsid w:val="004F3537"/>
    <w:rsid w:val="004F3B49"/>
    <w:rsid w:val="00500174"/>
    <w:rsid w:val="00515370"/>
    <w:rsid w:val="00525898"/>
    <w:rsid w:val="00530711"/>
    <w:rsid w:val="00545027"/>
    <w:rsid w:val="0055600F"/>
    <w:rsid w:val="0056470C"/>
    <w:rsid w:val="00565615"/>
    <w:rsid w:val="005664CA"/>
    <w:rsid w:val="0058266E"/>
    <w:rsid w:val="0058688A"/>
    <w:rsid w:val="00590BCD"/>
    <w:rsid w:val="00593BAE"/>
    <w:rsid w:val="005A32E4"/>
    <w:rsid w:val="005A5292"/>
    <w:rsid w:val="005A732D"/>
    <w:rsid w:val="005B23B6"/>
    <w:rsid w:val="005C5563"/>
    <w:rsid w:val="005E11CE"/>
    <w:rsid w:val="005E7D95"/>
    <w:rsid w:val="005F28B3"/>
    <w:rsid w:val="005F4AAA"/>
    <w:rsid w:val="00604132"/>
    <w:rsid w:val="00604F1C"/>
    <w:rsid w:val="00617ED5"/>
    <w:rsid w:val="00622A27"/>
    <w:rsid w:val="006409F9"/>
    <w:rsid w:val="0064287C"/>
    <w:rsid w:val="006440B6"/>
    <w:rsid w:val="006501E6"/>
    <w:rsid w:val="00650F99"/>
    <w:rsid w:val="0066572E"/>
    <w:rsid w:val="006753A9"/>
    <w:rsid w:val="00683740"/>
    <w:rsid w:val="006964C0"/>
    <w:rsid w:val="006A31BC"/>
    <w:rsid w:val="006A40D0"/>
    <w:rsid w:val="006A592E"/>
    <w:rsid w:val="006A6CAF"/>
    <w:rsid w:val="006A6F49"/>
    <w:rsid w:val="006A7144"/>
    <w:rsid w:val="006B4CEC"/>
    <w:rsid w:val="006C5EE8"/>
    <w:rsid w:val="006C60F3"/>
    <w:rsid w:val="006F0429"/>
    <w:rsid w:val="006F4B6C"/>
    <w:rsid w:val="006F6BBC"/>
    <w:rsid w:val="0070714C"/>
    <w:rsid w:val="00745807"/>
    <w:rsid w:val="00747464"/>
    <w:rsid w:val="00754FFE"/>
    <w:rsid w:val="00767683"/>
    <w:rsid w:val="007779B2"/>
    <w:rsid w:val="0078116D"/>
    <w:rsid w:val="00782FF5"/>
    <w:rsid w:val="00786A91"/>
    <w:rsid w:val="007A6889"/>
    <w:rsid w:val="007B34FF"/>
    <w:rsid w:val="007B4AB5"/>
    <w:rsid w:val="007B5306"/>
    <w:rsid w:val="007C2CC3"/>
    <w:rsid w:val="007C351D"/>
    <w:rsid w:val="007D543E"/>
    <w:rsid w:val="007E0808"/>
    <w:rsid w:val="007E3059"/>
    <w:rsid w:val="007E4ED5"/>
    <w:rsid w:val="007E7421"/>
    <w:rsid w:val="007E7513"/>
    <w:rsid w:val="007F5A92"/>
    <w:rsid w:val="007F5F4E"/>
    <w:rsid w:val="007F7616"/>
    <w:rsid w:val="0080116E"/>
    <w:rsid w:val="008012A4"/>
    <w:rsid w:val="00804E34"/>
    <w:rsid w:val="008060DE"/>
    <w:rsid w:val="00807BAA"/>
    <w:rsid w:val="00814DCE"/>
    <w:rsid w:val="00821BD0"/>
    <w:rsid w:val="00824097"/>
    <w:rsid w:val="00824181"/>
    <w:rsid w:val="0083144B"/>
    <w:rsid w:val="00853611"/>
    <w:rsid w:val="0085420D"/>
    <w:rsid w:val="008550EF"/>
    <w:rsid w:val="008617A6"/>
    <w:rsid w:val="00863A25"/>
    <w:rsid w:val="008641C8"/>
    <w:rsid w:val="008776EB"/>
    <w:rsid w:val="0089637D"/>
    <w:rsid w:val="008B0045"/>
    <w:rsid w:val="008B0889"/>
    <w:rsid w:val="008B0D75"/>
    <w:rsid w:val="008B67EB"/>
    <w:rsid w:val="008E0DEF"/>
    <w:rsid w:val="008E3636"/>
    <w:rsid w:val="008E73EE"/>
    <w:rsid w:val="00901684"/>
    <w:rsid w:val="00913BF3"/>
    <w:rsid w:val="00917950"/>
    <w:rsid w:val="00921645"/>
    <w:rsid w:val="00931D14"/>
    <w:rsid w:val="009324C3"/>
    <w:rsid w:val="009331A5"/>
    <w:rsid w:val="00933A89"/>
    <w:rsid w:val="00944F57"/>
    <w:rsid w:val="009477D5"/>
    <w:rsid w:val="00977EF7"/>
    <w:rsid w:val="00986996"/>
    <w:rsid w:val="0099077E"/>
    <w:rsid w:val="0099281F"/>
    <w:rsid w:val="009A00A8"/>
    <w:rsid w:val="009A542A"/>
    <w:rsid w:val="009B480D"/>
    <w:rsid w:val="009B5D7D"/>
    <w:rsid w:val="009B6ECC"/>
    <w:rsid w:val="009C1FCB"/>
    <w:rsid w:val="009C4D87"/>
    <w:rsid w:val="009C56C0"/>
    <w:rsid w:val="009D20DE"/>
    <w:rsid w:val="009D66A7"/>
    <w:rsid w:val="009E35A4"/>
    <w:rsid w:val="009F0FEB"/>
    <w:rsid w:val="009F1C70"/>
    <w:rsid w:val="009F77BA"/>
    <w:rsid w:val="00A13D4B"/>
    <w:rsid w:val="00A179F1"/>
    <w:rsid w:val="00A25CA7"/>
    <w:rsid w:val="00A3164E"/>
    <w:rsid w:val="00A3232A"/>
    <w:rsid w:val="00A343FF"/>
    <w:rsid w:val="00A366BE"/>
    <w:rsid w:val="00A466C8"/>
    <w:rsid w:val="00A47FF7"/>
    <w:rsid w:val="00A56234"/>
    <w:rsid w:val="00A565B1"/>
    <w:rsid w:val="00A72869"/>
    <w:rsid w:val="00A74A1D"/>
    <w:rsid w:val="00A76C75"/>
    <w:rsid w:val="00A92F14"/>
    <w:rsid w:val="00A942E0"/>
    <w:rsid w:val="00AA0407"/>
    <w:rsid w:val="00AA4E4E"/>
    <w:rsid w:val="00AB6FB8"/>
    <w:rsid w:val="00AC2BAD"/>
    <w:rsid w:val="00AE1B0F"/>
    <w:rsid w:val="00AE2597"/>
    <w:rsid w:val="00AF0CEC"/>
    <w:rsid w:val="00AF37E4"/>
    <w:rsid w:val="00B022FA"/>
    <w:rsid w:val="00B02BDD"/>
    <w:rsid w:val="00B033A1"/>
    <w:rsid w:val="00B056D9"/>
    <w:rsid w:val="00B16DD3"/>
    <w:rsid w:val="00B17D1F"/>
    <w:rsid w:val="00B2161A"/>
    <w:rsid w:val="00B65CF1"/>
    <w:rsid w:val="00B6696C"/>
    <w:rsid w:val="00B75824"/>
    <w:rsid w:val="00B806AC"/>
    <w:rsid w:val="00B90B9D"/>
    <w:rsid w:val="00B91191"/>
    <w:rsid w:val="00B91D8E"/>
    <w:rsid w:val="00B93993"/>
    <w:rsid w:val="00BA675E"/>
    <w:rsid w:val="00BB5902"/>
    <w:rsid w:val="00BC19D9"/>
    <w:rsid w:val="00BD37BE"/>
    <w:rsid w:val="00BF33B2"/>
    <w:rsid w:val="00BF7310"/>
    <w:rsid w:val="00C04C07"/>
    <w:rsid w:val="00C1382E"/>
    <w:rsid w:val="00C21076"/>
    <w:rsid w:val="00C40F2C"/>
    <w:rsid w:val="00C52F00"/>
    <w:rsid w:val="00C6690B"/>
    <w:rsid w:val="00C87F91"/>
    <w:rsid w:val="00CA2777"/>
    <w:rsid w:val="00CA3AA8"/>
    <w:rsid w:val="00CB0CA0"/>
    <w:rsid w:val="00CC4274"/>
    <w:rsid w:val="00CC5359"/>
    <w:rsid w:val="00CD3889"/>
    <w:rsid w:val="00CE6C85"/>
    <w:rsid w:val="00CF64FA"/>
    <w:rsid w:val="00D05BCC"/>
    <w:rsid w:val="00D13990"/>
    <w:rsid w:val="00D222B7"/>
    <w:rsid w:val="00D32AF3"/>
    <w:rsid w:val="00D5166A"/>
    <w:rsid w:val="00D56F83"/>
    <w:rsid w:val="00D809FF"/>
    <w:rsid w:val="00D82E91"/>
    <w:rsid w:val="00DA39D4"/>
    <w:rsid w:val="00DB1E4A"/>
    <w:rsid w:val="00DB2CDF"/>
    <w:rsid w:val="00DC20F2"/>
    <w:rsid w:val="00DD36BE"/>
    <w:rsid w:val="00DD4F27"/>
    <w:rsid w:val="00DD7443"/>
    <w:rsid w:val="00DD7AE6"/>
    <w:rsid w:val="00DF0FE5"/>
    <w:rsid w:val="00E04605"/>
    <w:rsid w:val="00E06D52"/>
    <w:rsid w:val="00E16AFE"/>
    <w:rsid w:val="00E24DFC"/>
    <w:rsid w:val="00E26E89"/>
    <w:rsid w:val="00E3040C"/>
    <w:rsid w:val="00E30888"/>
    <w:rsid w:val="00E3614A"/>
    <w:rsid w:val="00E52331"/>
    <w:rsid w:val="00E56BF2"/>
    <w:rsid w:val="00E62255"/>
    <w:rsid w:val="00E72132"/>
    <w:rsid w:val="00E72BD0"/>
    <w:rsid w:val="00E77756"/>
    <w:rsid w:val="00E82BFD"/>
    <w:rsid w:val="00EB1162"/>
    <w:rsid w:val="00EB3ACF"/>
    <w:rsid w:val="00EC03C5"/>
    <w:rsid w:val="00EC64BF"/>
    <w:rsid w:val="00ED4C58"/>
    <w:rsid w:val="00ED518E"/>
    <w:rsid w:val="00EF1BD7"/>
    <w:rsid w:val="00EF4696"/>
    <w:rsid w:val="00F0294F"/>
    <w:rsid w:val="00F06E69"/>
    <w:rsid w:val="00F07B09"/>
    <w:rsid w:val="00F37B18"/>
    <w:rsid w:val="00F52F31"/>
    <w:rsid w:val="00F54F60"/>
    <w:rsid w:val="00F5625F"/>
    <w:rsid w:val="00F62F2B"/>
    <w:rsid w:val="00F659FE"/>
    <w:rsid w:val="00F66FEE"/>
    <w:rsid w:val="00F72E41"/>
    <w:rsid w:val="00F8544E"/>
    <w:rsid w:val="00FA0536"/>
    <w:rsid w:val="00FB3AC4"/>
    <w:rsid w:val="00FC0266"/>
    <w:rsid w:val="00FC66C2"/>
    <w:rsid w:val="00FD09E6"/>
    <w:rsid w:val="00FD7ED8"/>
    <w:rsid w:val="00FE1682"/>
    <w:rsid w:val="00FE2B62"/>
    <w:rsid w:val="00FF46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D78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9D4"/>
    <w:pPr>
      <w:spacing w:after="200" w:line="276" w:lineRule="auto"/>
    </w:pPr>
    <w:rPr>
      <w:sz w:val="22"/>
      <w:szCs w:val="22"/>
      <w:lang w:val="en-US" w:eastAsia="en-US"/>
    </w:rPr>
  </w:style>
  <w:style w:type="paragraph" w:styleId="Heading2">
    <w:name w:val="heading 2"/>
    <w:basedOn w:val="Normal"/>
    <w:next w:val="Normal"/>
    <w:link w:val="Heading2Char"/>
    <w:uiPriority w:val="9"/>
    <w:semiHidden/>
    <w:unhideWhenUsed/>
    <w:qFormat/>
    <w:rsid w:val="004C4D9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977EF7"/>
    <w:pPr>
      <w:keepNext/>
      <w:spacing w:after="0" w:line="240" w:lineRule="auto"/>
      <w:ind w:firstLine="720"/>
      <w:jc w:val="both"/>
      <w:outlineLvl w:val="2"/>
    </w:pPr>
    <w:rPr>
      <w:rFonts w:ascii="Univers" w:eastAsia="Times New Roman" w:hAnsi="Univers"/>
      <w:b/>
      <w:bCs/>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val="en-US"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5E11CE"/>
    <w:pPr>
      <w:tabs>
        <w:tab w:val="left" w:pos="-720"/>
      </w:tabs>
      <w:suppressAutoHyphens/>
      <w:spacing w:after="0" w:line="240" w:lineRule="auto"/>
      <w:jc w:val="both"/>
    </w:pPr>
    <w:rPr>
      <w:rFonts w:ascii="Univers" w:eastAsia="Times New Roman" w:hAnsi="Univers"/>
      <w:spacing w:val="-3"/>
      <w:sz w:val="24"/>
      <w:szCs w:val="20"/>
      <w:lang w:val="es-ES"/>
    </w:rPr>
  </w:style>
  <w:style w:type="character" w:customStyle="1" w:styleId="BodyText2Char">
    <w:name w:val="Body Text 2 Char"/>
    <w:link w:val="BodyText2"/>
    <w:rsid w:val="005E11CE"/>
    <w:rPr>
      <w:rFonts w:ascii="Univers" w:eastAsia="Times New Roman" w:hAnsi="Univers"/>
      <w:spacing w:val="-3"/>
      <w:sz w:val="24"/>
      <w:lang w:val="es-ES"/>
    </w:rPr>
  </w:style>
  <w:style w:type="paragraph" w:styleId="BlockText">
    <w:name w:val="Block Text"/>
    <w:basedOn w:val="Normal"/>
    <w:rsid w:val="002A1ED6"/>
    <w:pPr>
      <w:spacing w:after="0" w:line="480" w:lineRule="auto"/>
      <w:ind w:left="720" w:right="720" w:firstLine="720"/>
      <w:jc w:val="both"/>
    </w:pPr>
    <w:rPr>
      <w:rFonts w:ascii="Univers" w:eastAsia="Times New Roman" w:hAnsi="Univers"/>
      <w:szCs w:val="20"/>
      <w:lang w:val="es-ES"/>
    </w:rPr>
  </w:style>
  <w:style w:type="paragraph" w:styleId="BodyText">
    <w:name w:val="Body Text"/>
    <w:basedOn w:val="Normal"/>
    <w:link w:val="BodyTextChar"/>
    <w:uiPriority w:val="99"/>
    <w:semiHidden/>
    <w:unhideWhenUsed/>
    <w:rsid w:val="00977EF7"/>
    <w:pPr>
      <w:spacing w:after="120"/>
    </w:pPr>
  </w:style>
  <w:style w:type="character" w:customStyle="1" w:styleId="BodyTextChar">
    <w:name w:val="Body Text Char"/>
    <w:link w:val="BodyText"/>
    <w:uiPriority w:val="99"/>
    <w:semiHidden/>
    <w:rsid w:val="00977EF7"/>
    <w:rPr>
      <w:sz w:val="22"/>
      <w:szCs w:val="22"/>
    </w:rPr>
  </w:style>
  <w:style w:type="character" w:customStyle="1" w:styleId="Heading3Char">
    <w:name w:val="Heading 3 Char"/>
    <w:link w:val="Heading3"/>
    <w:rsid w:val="00977EF7"/>
    <w:rPr>
      <w:rFonts w:ascii="Univers" w:eastAsia="Times New Roman" w:hAnsi="Univers"/>
      <w:b/>
      <w:bCs/>
      <w:sz w:val="22"/>
      <w:lang w:val="es-ES"/>
    </w:rPr>
  </w:style>
  <w:style w:type="paragraph" w:styleId="BodyTextIndent">
    <w:name w:val="Body Text Indent"/>
    <w:basedOn w:val="Normal"/>
    <w:link w:val="BodyTextIndentChar"/>
    <w:uiPriority w:val="99"/>
    <w:unhideWhenUsed/>
    <w:rsid w:val="0089637D"/>
    <w:pPr>
      <w:spacing w:after="120"/>
      <w:ind w:left="360"/>
    </w:pPr>
  </w:style>
  <w:style w:type="character" w:customStyle="1" w:styleId="BodyTextIndentChar">
    <w:name w:val="Body Text Indent Char"/>
    <w:link w:val="BodyTextIndent"/>
    <w:uiPriority w:val="99"/>
    <w:rsid w:val="0089637D"/>
    <w:rPr>
      <w:sz w:val="22"/>
      <w:szCs w:val="22"/>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iPriority w:val="99"/>
    <w:unhideWhenUsed/>
    <w:qFormat/>
    <w:rsid w:val="00E06D52"/>
    <w:rPr>
      <w:vertAlign w:val="superscript"/>
    </w:rPr>
  </w:style>
  <w:style w:type="paragraph" w:customStyle="1" w:styleId="Appelnotedebasde">
    <w:name w:val="Appel note de bas de..."/>
    <w:basedOn w:val="Normal"/>
    <w:link w:val="FootnoteReference"/>
    <w:uiPriority w:val="99"/>
    <w:rsid w:val="00E06D52"/>
    <w:pPr>
      <w:spacing w:after="160" w:line="240" w:lineRule="exact"/>
    </w:pPr>
    <w:rPr>
      <w:sz w:val="20"/>
      <w:szCs w:val="20"/>
      <w:vertAlign w:val="superscript"/>
    </w:rPr>
  </w:style>
  <w:style w:type="character" w:customStyle="1" w:styleId="Heading2Char">
    <w:name w:val="Heading 2 Char"/>
    <w:link w:val="Heading2"/>
    <w:uiPriority w:val="9"/>
    <w:semiHidden/>
    <w:rsid w:val="004C4D9C"/>
    <w:rPr>
      <w:rFonts w:ascii="Calibri Light" w:eastAsia="Times New Roman" w:hAnsi="Calibri Light" w:cs="Times New Roman"/>
      <w:b/>
      <w:bCs/>
      <w:i/>
      <w:iCs/>
      <w:sz w:val="28"/>
      <w:szCs w:val="28"/>
    </w:rPr>
  </w:style>
  <w:style w:type="character" w:styleId="Hyperlink">
    <w:name w:val="Hyperlink"/>
    <w:uiPriority w:val="99"/>
    <w:unhideWhenUsed/>
    <w:rsid w:val="004B6622"/>
    <w:rPr>
      <w:color w:val="0000FF"/>
      <w:u w:val="single"/>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4B6622"/>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4B6622"/>
    <w:rPr>
      <w:lang w:val="en-US" w:eastAsia="en-US"/>
    </w:rPr>
  </w:style>
  <w:style w:type="paragraph" w:styleId="ListParagraph">
    <w:name w:val="List Paragraph"/>
    <w:basedOn w:val="Normal"/>
    <w:link w:val="ListParagraphChar"/>
    <w:uiPriority w:val="34"/>
    <w:qFormat/>
    <w:rsid w:val="004B6622"/>
    <w:pPr>
      <w:ind w:left="720"/>
      <w:contextualSpacing/>
    </w:pPr>
  </w:style>
  <w:style w:type="character" w:customStyle="1" w:styleId="ListParagraphChar">
    <w:name w:val="List Paragraph Char"/>
    <w:link w:val="ListParagraph"/>
    <w:uiPriority w:val="34"/>
    <w:rsid w:val="008E0DEF"/>
    <w:rPr>
      <w:sz w:val="22"/>
      <w:szCs w:val="22"/>
      <w:lang w:val="en-US" w:eastAsia="en-US"/>
    </w:rPr>
  </w:style>
  <w:style w:type="paragraph" w:customStyle="1" w:styleId="MediumGrid21">
    <w:name w:val="Medium Grid 21"/>
    <w:link w:val="MediumGrid2Char"/>
    <w:uiPriority w:val="1"/>
    <w:qFormat/>
    <w:rsid w:val="00477809"/>
    <w:rPr>
      <w:rFonts w:eastAsia="MS Mincho"/>
      <w:sz w:val="22"/>
      <w:szCs w:val="22"/>
      <w:lang w:val="pt-BR" w:eastAsia="en-US"/>
    </w:rPr>
  </w:style>
  <w:style w:type="paragraph" w:customStyle="1" w:styleId="Default">
    <w:name w:val="Default"/>
    <w:rsid w:val="00477809"/>
    <w:pPr>
      <w:autoSpaceDE w:val="0"/>
      <w:autoSpaceDN w:val="0"/>
      <w:adjustRightInd w:val="0"/>
    </w:pPr>
    <w:rPr>
      <w:rFonts w:ascii="Cambria" w:eastAsia="MS Mincho" w:hAnsi="Cambria" w:cs="Cambria"/>
      <w:color w:val="000000"/>
      <w:sz w:val="24"/>
      <w:szCs w:val="24"/>
      <w:lang w:val="pt-BR" w:eastAsia="pt-BR"/>
    </w:rPr>
  </w:style>
  <w:style w:type="character" w:customStyle="1" w:styleId="MediumGrid2Char">
    <w:name w:val="Medium Grid 2 Char"/>
    <w:link w:val="MediumGrid21"/>
    <w:uiPriority w:val="1"/>
    <w:rsid w:val="00477809"/>
    <w:rPr>
      <w:rFonts w:eastAsia="MS Mincho"/>
      <w:sz w:val="22"/>
      <w:szCs w:val="22"/>
      <w:lang w:val="pt-BR" w:eastAsia="en-US"/>
    </w:rPr>
  </w:style>
  <w:style w:type="character" w:styleId="FollowedHyperlink">
    <w:name w:val="FollowedHyperlink"/>
    <w:basedOn w:val="DefaultParagraphFont"/>
    <w:uiPriority w:val="99"/>
    <w:semiHidden/>
    <w:unhideWhenUsed/>
    <w:rsid w:val="0099077E"/>
    <w:rPr>
      <w:color w:val="954F72" w:themeColor="followedHyperlink"/>
      <w:u w:val="single"/>
    </w:rPr>
  </w:style>
  <w:style w:type="paragraph" w:styleId="Revision">
    <w:name w:val="Revision"/>
    <w:hidden/>
    <w:uiPriority w:val="99"/>
    <w:semiHidden/>
    <w:rsid w:val="00BB5902"/>
    <w:rPr>
      <w:sz w:val="22"/>
      <w:szCs w:val="22"/>
      <w:lang w:val="en-US" w:eastAsia="en-US"/>
    </w:rPr>
  </w:style>
  <w:style w:type="character" w:styleId="LineNumber">
    <w:name w:val="line number"/>
    <w:basedOn w:val="DefaultParagraphFont"/>
    <w:uiPriority w:val="99"/>
    <w:semiHidden/>
    <w:unhideWhenUsed/>
    <w:rsid w:val="008641C8"/>
  </w:style>
  <w:style w:type="character" w:styleId="UnresolvedMention">
    <w:name w:val="Unresolved Mention"/>
    <w:basedOn w:val="DefaultParagraphFont"/>
    <w:uiPriority w:val="99"/>
    <w:semiHidden/>
    <w:unhideWhenUsed/>
    <w:rsid w:val="00134455"/>
    <w:rPr>
      <w:color w:val="605E5C"/>
      <w:shd w:val="clear" w:color="auto" w:fill="E1DFDD"/>
    </w:rPr>
  </w:style>
  <w:style w:type="character" w:customStyle="1" w:styleId="normaltextrun">
    <w:name w:val="normaltextrun"/>
    <w:basedOn w:val="DefaultParagraphFont"/>
    <w:rsid w:val="00A3164E"/>
  </w:style>
  <w:style w:type="character" w:customStyle="1" w:styleId="ui-provider">
    <w:name w:val="ui-provider"/>
    <w:basedOn w:val="DefaultParagraphFont"/>
    <w:rsid w:val="002B4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836954">
      <w:bodyDiv w:val="1"/>
      <w:marLeft w:val="0"/>
      <w:marRight w:val="0"/>
      <w:marTop w:val="0"/>
      <w:marBottom w:val="0"/>
      <w:divBdr>
        <w:top w:val="none" w:sz="0" w:space="0" w:color="auto"/>
        <w:left w:val="none" w:sz="0" w:space="0" w:color="auto"/>
        <w:bottom w:val="none" w:sz="0" w:space="0" w:color="auto"/>
        <w:right w:val="none" w:sz="0" w:space="0" w:color="auto"/>
      </w:divBdr>
    </w:div>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295067447">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1940984259">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as.org/es/cidh/decisiones/2016/ARAD387-02ES.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oas.org/es/cidh/decisiones/2023/AR%20SA%2013.020%20ES-FINAL%20WEB.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as.org/es/cidh/decisiones/2023/AR%20SA%2013.020%20ES-FINAL%20WEB.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oas.org/es/cidh/decisiones/2023/AR%20SA%2013.020%20ES-FINAL%20WE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8" ma:contentTypeDescription="Create a new document." ma:contentTypeScope="" ma:versionID="2f04fed201ecf924f5e5f0c570ae3e85">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2088b6f29b0ecff0e1f61368e818cef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Props1.xml><?xml version="1.0" encoding="utf-8"?>
<ds:datastoreItem xmlns:ds="http://schemas.openxmlformats.org/officeDocument/2006/customXml" ds:itemID="{06327217-8C71-4183-9EC3-C2AEAA6FAE78}">
  <ds:schemaRefs>
    <ds:schemaRef ds:uri="http://schemas.microsoft.com/office/2006/metadata/longProperties"/>
  </ds:schemaRefs>
</ds:datastoreItem>
</file>

<file path=customXml/itemProps2.xml><?xml version="1.0" encoding="utf-8"?>
<ds:datastoreItem xmlns:ds="http://schemas.openxmlformats.org/officeDocument/2006/customXml" ds:itemID="{93399860-7876-49CE-B882-8129C89D7876}">
  <ds:schemaRefs>
    <ds:schemaRef ds:uri="http://schemas.openxmlformats.org/officeDocument/2006/bibliography"/>
  </ds:schemaRefs>
</ds:datastoreItem>
</file>

<file path=customXml/itemProps3.xml><?xml version="1.0" encoding="utf-8"?>
<ds:datastoreItem xmlns:ds="http://schemas.openxmlformats.org/officeDocument/2006/customXml" ds:itemID="{A84E21F1-7C1A-4FE0-BB38-148631980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B860E9-D705-4CC0-8F2E-B8214DB7B8F1}">
  <ds:schemaRefs>
    <ds:schemaRef ds:uri="http://schemas.microsoft.com/sharepoint/v3/contenttype/forms"/>
  </ds:schemaRefs>
</ds:datastoreItem>
</file>

<file path=customXml/itemProps5.xml><?xml version="1.0" encoding="utf-8"?>
<ds:datastoreItem xmlns:ds="http://schemas.openxmlformats.org/officeDocument/2006/customXml" ds:itemID="{C47ED616-BFB9-41ED-9515-06401B73B3C4}">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4831</Characters>
  <Application>Microsoft Office Word</Application>
  <DocSecurity>0</DocSecurity>
  <Lines>40</Lines>
  <Paragraphs>11</Paragraphs>
  <ScaleCrop>false</ScaleCrop>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2024-05-02T14:09:00Z</dcterms:created>
  <dcterms:modified xsi:type="dcterms:W3CDTF">2024-05-02T14:09:00Z</dcterms:modified>
</cp:coreProperties>
</file>